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Pr>
          <w:rFonts w:eastAsia="宋体" w:hint="eastAsia"/>
          <w:lang w:eastAsia="zh-CN"/>
        </w:rPr>
        <w:t xml:space="preserve">                                         </w:t>
      </w:r>
      <w:r>
        <w:t>R4-1</w:t>
      </w:r>
      <w:r w:rsidR="00297965">
        <w:rPr>
          <w:rFonts w:eastAsia="宋体" w:hint="eastAsia"/>
          <w:lang w:eastAsia="zh-CN"/>
        </w:rPr>
        <w:t>9</w:t>
      </w:r>
      <w:r w:rsidR="00A730D0">
        <w:rPr>
          <w:rFonts w:eastAsia="宋体" w:hint="eastAsia"/>
          <w:lang w:eastAsia="zh-CN"/>
        </w:rPr>
        <w:t>08078</w:t>
      </w:r>
    </w:p>
    <w:p w:rsidR="003F6833" w:rsidRDefault="00F82735" w:rsidP="00A00630">
      <w:pPr>
        <w:pStyle w:val="a"/>
        <w:rPr>
          <w:rFonts w:eastAsiaTheme="minorEastAsia"/>
          <w:lang w:eastAsia="zh-CN"/>
        </w:rPr>
      </w:pPr>
      <w:r w:rsidRPr="00A00630">
        <w:rPr>
          <w:rFonts w:hint="eastAsia"/>
        </w:rPr>
        <w:t>Ljubljana,</w:t>
      </w:r>
      <w:r w:rsidR="00FD172C" w:rsidRPr="00A00630">
        <w:rPr>
          <w:rFonts w:hint="eastAsia"/>
        </w:rPr>
        <w:t>S</w:t>
      </w:r>
      <w:r w:rsidRPr="00A00630">
        <w:rPr>
          <w:rFonts w:hint="eastAsia"/>
        </w:rPr>
        <w:t>I</w:t>
      </w:r>
      <w:r w:rsidR="00C82F63" w:rsidRPr="00A00630">
        <w:t xml:space="preserve">, </w:t>
      </w:r>
      <w:r w:rsidRPr="00A00630">
        <w:rPr>
          <w:rFonts w:hint="eastAsia"/>
        </w:rPr>
        <w:t>26</w:t>
      </w:r>
      <w:r w:rsidR="00581D9D" w:rsidRPr="00A00630">
        <w:rPr>
          <w:rFonts w:hint="eastAsia"/>
        </w:rPr>
        <w:t xml:space="preserve">th </w:t>
      </w:r>
      <w:r w:rsidR="00581D9D" w:rsidRPr="00A00630">
        <w:t>–</w:t>
      </w:r>
      <w:r w:rsidR="00581D9D" w:rsidRPr="00A00630">
        <w:rPr>
          <w:rFonts w:hint="eastAsia"/>
        </w:rPr>
        <w:t xml:space="preserve"> </w:t>
      </w:r>
      <w:r w:rsidRPr="00A00630">
        <w:rPr>
          <w:rFonts w:hint="eastAsia"/>
        </w:rPr>
        <w:t>30</w:t>
      </w:r>
      <w:r w:rsidR="00581D9D" w:rsidRPr="00A00630">
        <w:rPr>
          <w:rFonts w:hint="eastAsia"/>
        </w:rPr>
        <w:t xml:space="preserve">th </w:t>
      </w:r>
      <w:r w:rsidR="00FD172C" w:rsidRPr="00A00630">
        <w:rPr>
          <w:rFonts w:hint="eastAsia"/>
        </w:rPr>
        <w:t>May</w:t>
      </w:r>
      <w:r w:rsidR="00C82F63" w:rsidRPr="00A00630">
        <w:rPr>
          <w:rFonts w:hint="eastAsia"/>
        </w:rPr>
        <w:t>, 2019</w:t>
      </w:r>
    </w:p>
    <w:p w:rsidR="00A00630" w:rsidRPr="00A00630" w:rsidRDefault="00A00630" w:rsidP="00A00630">
      <w:pPr>
        <w:pStyle w:val="a"/>
        <w:rPr>
          <w:rFonts w:eastAsiaTheme="minorEastAsia"/>
          <w:lang w:eastAsia="zh-CN"/>
        </w:rPr>
      </w:pP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712D14">
        <w:rPr>
          <w:rFonts w:ascii="Arial" w:eastAsia="宋体" w:hAnsi="Arial" w:cs="Arial" w:hint="eastAsia"/>
          <w:b/>
          <w:noProof/>
          <w:kern w:val="0"/>
          <w:sz w:val="22"/>
          <w:szCs w:val="22"/>
          <w:lang w:val="en-GB"/>
        </w:rPr>
        <w:t>9.</w:t>
      </w:r>
      <w:r w:rsidR="003456AF">
        <w:rPr>
          <w:rFonts w:ascii="Arial" w:eastAsia="宋体" w:hAnsi="Arial" w:cs="Arial" w:hint="eastAsia"/>
          <w:b/>
          <w:noProof/>
          <w:kern w:val="0"/>
          <w:sz w:val="22"/>
          <w:szCs w:val="22"/>
          <w:lang w:val="en-GB"/>
        </w:rPr>
        <w:t>5.</w:t>
      </w:r>
      <w:r w:rsidR="00D0526B">
        <w:rPr>
          <w:rFonts w:ascii="Arial" w:eastAsia="宋体" w:hAnsi="Arial" w:cs="Arial" w:hint="eastAsia"/>
          <w:b/>
          <w:noProof/>
          <w:kern w:val="0"/>
          <w:sz w:val="22"/>
          <w:szCs w:val="22"/>
          <w:lang w:val="en-GB"/>
        </w:rPr>
        <w:t>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7C7AC6" w:rsidRDefault="00FF76F4" w:rsidP="000F5165">
      <w:pPr>
        <w:rPr>
          <w:rFonts w:ascii="Arial" w:hAnsi="Arial" w:cs="Arial"/>
          <w:b/>
          <w:noProof/>
          <w:sz w:val="22"/>
          <w:szCs w:val="22"/>
          <w:lang w:val="en-GB" w:eastAsia="en-US"/>
        </w:rPr>
      </w:pPr>
      <w:r w:rsidRPr="003F6833">
        <w:rPr>
          <w:rFonts w:ascii="Arial" w:hAnsi="Arial" w:cs="Arial"/>
          <w:b/>
          <w:noProof/>
          <w:sz w:val="22"/>
          <w:lang w:val="en-GB" w:eastAsia="en-US"/>
        </w:rPr>
        <w:t xml:space="preserve">Title: </w:t>
      </w:r>
      <w:r w:rsidRPr="003F6833">
        <w:rPr>
          <w:rFonts w:ascii="Arial" w:hAnsi="Arial" w:cs="Arial" w:hint="eastAsia"/>
          <w:b/>
          <w:noProof/>
          <w:sz w:val="22"/>
          <w:lang w:val="en-GB" w:eastAsia="en-US"/>
        </w:rPr>
        <w:t xml:space="preserve">       </w:t>
      </w:r>
      <w:r w:rsidRPr="007C7AC6">
        <w:rPr>
          <w:rFonts w:ascii="Arial" w:hAnsi="Arial" w:cs="Arial" w:hint="eastAsia"/>
          <w:b/>
          <w:noProof/>
          <w:sz w:val="22"/>
          <w:szCs w:val="22"/>
          <w:lang w:val="en-GB" w:eastAsia="en-US"/>
        </w:rPr>
        <w:t xml:space="preserve"> </w:t>
      </w:r>
      <w:r w:rsidR="00197EF8" w:rsidRPr="007C7AC6">
        <w:rPr>
          <w:rFonts w:ascii="Arial" w:hAnsi="Arial" w:cs="Arial" w:hint="eastAsia"/>
          <w:b/>
          <w:noProof/>
          <w:sz w:val="22"/>
          <w:szCs w:val="22"/>
          <w:lang w:val="en-GB" w:eastAsia="en-US"/>
        </w:rPr>
        <w:t xml:space="preserve"> </w:t>
      </w:r>
      <w:r w:rsidR="00EF4214" w:rsidRPr="007C7AC6">
        <w:rPr>
          <w:rFonts w:ascii="Arial" w:hAnsi="Arial" w:cs="Arial" w:hint="eastAsia"/>
          <w:b/>
          <w:noProof/>
          <w:sz w:val="22"/>
          <w:szCs w:val="22"/>
          <w:lang w:val="en-GB" w:eastAsia="en-US"/>
        </w:rPr>
        <w:t>Further discussion</w:t>
      </w:r>
      <w:r w:rsidR="00D0526B" w:rsidRPr="007C7AC6">
        <w:rPr>
          <w:rFonts w:ascii="Arial" w:hAnsi="Arial" w:cs="Arial" w:hint="eastAsia"/>
          <w:b/>
          <w:noProof/>
          <w:sz w:val="22"/>
          <w:szCs w:val="22"/>
          <w:lang w:val="en-GB" w:eastAsia="en-US"/>
        </w:rPr>
        <w:t xml:space="preserve"> on </w:t>
      </w:r>
      <w:r w:rsidR="007C7AC6" w:rsidRPr="007C7AC6">
        <w:rPr>
          <w:rFonts w:ascii="Arial" w:hAnsi="Arial" w:cs="Arial" w:hint="eastAsia"/>
          <w:b/>
          <w:noProof/>
          <w:sz w:val="22"/>
          <w:szCs w:val="22"/>
          <w:lang w:val="en-GB" w:eastAsia="en-US"/>
        </w:rPr>
        <w:t>TS skeleton and terminology</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Default="0014667B" w:rsidP="005F6ECF">
      <w:pPr>
        <w:spacing w:afterLines="50" w:after="156"/>
        <w:jc w:val="both"/>
        <w:rPr>
          <w:rFonts w:ascii="Arial" w:hAnsi="Arial" w:cs="Arial"/>
          <w:sz w:val="21"/>
          <w:szCs w:val="21"/>
        </w:rPr>
      </w:pPr>
      <w:r w:rsidRPr="005F6ECF">
        <w:rPr>
          <w:rFonts w:ascii="Arial" w:hAnsi="Arial" w:cs="Arial"/>
          <w:sz w:val="21"/>
          <w:szCs w:val="21"/>
        </w:rPr>
        <w:t>In RAN4#9</w:t>
      </w:r>
      <w:r w:rsidR="000F6C2D" w:rsidRPr="005F6ECF">
        <w:rPr>
          <w:rFonts w:ascii="Arial" w:hAnsi="Arial" w:cs="Arial"/>
          <w:sz w:val="21"/>
          <w:szCs w:val="21"/>
        </w:rPr>
        <w:t>1</w:t>
      </w:r>
      <w:r w:rsidR="00D82146">
        <w:rPr>
          <w:rFonts w:ascii="Arial" w:hAnsi="Arial" w:cs="Arial"/>
          <w:sz w:val="21"/>
          <w:szCs w:val="21"/>
        </w:rPr>
        <w:t xml:space="preserve"> meeting</w:t>
      </w:r>
      <w:r w:rsidR="00D82146">
        <w:rPr>
          <w:rFonts w:ascii="Arial" w:hAnsi="Arial" w:cs="Arial" w:hint="eastAsia"/>
          <w:sz w:val="21"/>
          <w:szCs w:val="21"/>
        </w:rPr>
        <w:t xml:space="preserve"> regarding how to specify the IAB requirement, there is a proposal to </w:t>
      </w:r>
      <w:r w:rsidR="00D82146">
        <w:rPr>
          <w:rFonts w:ascii="Arial" w:hAnsi="Arial" w:cs="Arial"/>
          <w:sz w:val="21"/>
          <w:szCs w:val="21"/>
        </w:rPr>
        <w:t>distinguish</w:t>
      </w:r>
      <w:r w:rsidR="00D82146">
        <w:rPr>
          <w:rFonts w:ascii="Arial" w:hAnsi="Arial" w:cs="Arial" w:hint="eastAsia"/>
          <w:sz w:val="21"/>
          <w:szCs w:val="21"/>
        </w:rPr>
        <w:t xml:space="preserve"> the IAB as two functionalities as IAB-MT and IAB-</w:t>
      </w:r>
      <w:proofErr w:type="gramStart"/>
      <w:r w:rsidR="00D82146">
        <w:rPr>
          <w:rFonts w:ascii="Arial" w:hAnsi="Arial" w:cs="Arial" w:hint="eastAsia"/>
          <w:sz w:val="21"/>
          <w:szCs w:val="21"/>
        </w:rPr>
        <w:t>DU</w:t>
      </w:r>
      <w:r w:rsidR="00FA1D8C">
        <w:rPr>
          <w:rFonts w:ascii="Arial" w:hAnsi="Arial" w:cs="Arial" w:hint="eastAsia"/>
          <w:sz w:val="21"/>
          <w:szCs w:val="21"/>
        </w:rPr>
        <w:t>[</w:t>
      </w:r>
      <w:proofErr w:type="gramEnd"/>
      <w:r w:rsidR="00FA1D8C">
        <w:rPr>
          <w:rFonts w:ascii="Arial" w:hAnsi="Arial" w:cs="Arial" w:hint="eastAsia"/>
          <w:sz w:val="21"/>
          <w:szCs w:val="21"/>
        </w:rPr>
        <w:t>1] due to potential issue to specify RF requirement for access link and backhaul link respectively</w:t>
      </w:r>
      <w:r w:rsidR="00D82146">
        <w:rPr>
          <w:rFonts w:ascii="Arial" w:hAnsi="Arial" w:cs="Arial" w:hint="eastAsia"/>
          <w:sz w:val="21"/>
          <w:szCs w:val="21"/>
        </w:rPr>
        <w:t xml:space="preserve">. However, concern is raised to link the functionality module with RF requirement. Furthermore, there is also request </w:t>
      </w:r>
      <w:r w:rsidR="00CD412C">
        <w:rPr>
          <w:rFonts w:ascii="Arial" w:hAnsi="Arial" w:cs="Arial" w:hint="eastAsia"/>
          <w:sz w:val="21"/>
          <w:szCs w:val="21"/>
        </w:rPr>
        <w:t xml:space="preserve">to </w:t>
      </w:r>
      <w:r w:rsidR="007F7E70">
        <w:rPr>
          <w:rFonts w:ascii="Arial" w:hAnsi="Arial" w:cs="Arial" w:hint="eastAsia"/>
          <w:sz w:val="21"/>
          <w:szCs w:val="21"/>
        </w:rPr>
        <w:t>allow</w:t>
      </w:r>
      <w:r w:rsidR="00CD412C">
        <w:rPr>
          <w:rFonts w:ascii="Arial" w:hAnsi="Arial" w:cs="Arial" w:hint="eastAsia"/>
          <w:sz w:val="21"/>
          <w:szCs w:val="21"/>
        </w:rPr>
        <w:t xml:space="preserve"> forward </w:t>
      </w:r>
      <w:r w:rsidR="00CD412C">
        <w:rPr>
          <w:rFonts w:ascii="Arial" w:hAnsi="Arial" w:cs="Arial"/>
          <w:sz w:val="21"/>
          <w:szCs w:val="21"/>
        </w:rPr>
        <w:t>compatibility</w:t>
      </w:r>
      <w:r w:rsidR="007F7E70">
        <w:rPr>
          <w:rFonts w:ascii="Arial" w:hAnsi="Arial" w:cs="Arial" w:hint="eastAsia"/>
          <w:sz w:val="21"/>
          <w:szCs w:val="21"/>
        </w:rPr>
        <w:t xml:space="preserve"> of enhanced duplexer assumption to enable flexibility of deployment in earl</w:t>
      </w:r>
      <w:r w:rsidR="00B42905">
        <w:rPr>
          <w:rFonts w:ascii="Arial" w:hAnsi="Arial" w:cs="Arial" w:hint="eastAsia"/>
          <w:sz w:val="21"/>
          <w:szCs w:val="21"/>
        </w:rPr>
        <w:t xml:space="preserve">y stage. Consequently, there was </w:t>
      </w:r>
      <w:r w:rsidR="007F7E70">
        <w:rPr>
          <w:rFonts w:ascii="Arial" w:hAnsi="Arial" w:cs="Arial" w:hint="eastAsia"/>
          <w:sz w:val="21"/>
          <w:szCs w:val="21"/>
        </w:rPr>
        <w:t xml:space="preserve">no consensus on handling of RF </w:t>
      </w:r>
      <w:r w:rsidR="007F7E70">
        <w:rPr>
          <w:rFonts w:ascii="Arial" w:hAnsi="Arial" w:cs="Arial"/>
          <w:sz w:val="21"/>
          <w:szCs w:val="21"/>
        </w:rPr>
        <w:t>specification</w:t>
      </w:r>
      <w:r w:rsidR="007F7E70">
        <w:rPr>
          <w:rFonts w:ascii="Arial" w:hAnsi="Arial" w:cs="Arial" w:hint="eastAsia"/>
          <w:sz w:val="21"/>
          <w:szCs w:val="21"/>
        </w:rPr>
        <w:t xml:space="preserve"> skeleton</w:t>
      </w:r>
      <w:r w:rsidR="002B596F">
        <w:rPr>
          <w:rFonts w:ascii="Arial" w:hAnsi="Arial" w:cs="Arial" w:hint="eastAsia"/>
          <w:sz w:val="21"/>
          <w:szCs w:val="21"/>
        </w:rPr>
        <w:t xml:space="preserve"> and corresponding </w:t>
      </w:r>
      <w:r w:rsidR="002B596F">
        <w:rPr>
          <w:rFonts w:ascii="Arial" w:hAnsi="Arial" w:cs="Arial"/>
          <w:sz w:val="21"/>
          <w:szCs w:val="21"/>
        </w:rPr>
        <w:t>terminology</w:t>
      </w:r>
      <w:r w:rsidR="00B42905">
        <w:rPr>
          <w:rFonts w:ascii="Arial" w:hAnsi="Arial" w:cs="Arial" w:hint="eastAsia"/>
          <w:sz w:val="21"/>
          <w:szCs w:val="21"/>
        </w:rPr>
        <w:t xml:space="preserve"> in May meeting.</w:t>
      </w:r>
    </w:p>
    <w:p w:rsidR="008058A7" w:rsidRPr="005F6ECF" w:rsidRDefault="008058A7" w:rsidP="005F6ECF">
      <w:pPr>
        <w:spacing w:afterLines="50" w:after="156"/>
        <w:jc w:val="both"/>
        <w:rPr>
          <w:rFonts w:ascii="Arial" w:hAnsi="Arial" w:cs="Arial"/>
          <w:sz w:val="21"/>
          <w:szCs w:val="21"/>
        </w:rPr>
      </w:pPr>
      <w:r>
        <w:rPr>
          <w:rFonts w:ascii="Arial" w:hAnsi="Arial" w:cs="Arial" w:hint="eastAsia"/>
          <w:sz w:val="21"/>
          <w:szCs w:val="21"/>
        </w:rPr>
        <w:t>This contribution provides furthe</w:t>
      </w:r>
      <w:r w:rsidR="00C85C52">
        <w:rPr>
          <w:rFonts w:ascii="Arial" w:hAnsi="Arial" w:cs="Arial" w:hint="eastAsia"/>
          <w:sz w:val="21"/>
          <w:szCs w:val="21"/>
        </w:rPr>
        <w:t>r consideration on terminology</w:t>
      </w:r>
      <w:r w:rsidR="00C92536">
        <w:rPr>
          <w:rFonts w:ascii="Arial" w:hAnsi="Arial" w:cs="Arial" w:hint="eastAsia"/>
          <w:sz w:val="21"/>
          <w:szCs w:val="21"/>
        </w:rPr>
        <w:t xml:space="preserve"> and </w:t>
      </w:r>
      <w:r w:rsidR="00C85C52">
        <w:rPr>
          <w:rFonts w:ascii="Arial" w:hAnsi="Arial" w:cs="Arial" w:hint="eastAsia"/>
          <w:sz w:val="21"/>
          <w:szCs w:val="21"/>
        </w:rPr>
        <w:t>TS skeleton</w:t>
      </w:r>
      <w:r w:rsidR="00517AE6">
        <w:rPr>
          <w:rFonts w:ascii="Arial" w:hAnsi="Arial" w:cs="Arial" w:hint="eastAsia"/>
          <w:sz w:val="21"/>
          <w:szCs w:val="21"/>
        </w:rPr>
        <w:t xml:space="preserve"> </w:t>
      </w:r>
      <w:r w:rsidR="00D03911">
        <w:rPr>
          <w:rFonts w:ascii="Arial" w:hAnsi="Arial" w:cs="Arial" w:hint="eastAsia"/>
          <w:sz w:val="21"/>
          <w:szCs w:val="21"/>
        </w:rPr>
        <w:t xml:space="preserve">for RF </w:t>
      </w:r>
      <w:r w:rsidR="00D03911">
        <w:rPr>
          <w:rFonts w:ascii="Arial" w:hAnsi="Arial" w:cs="Arial"/>
          <w:sz w:val="21"/>
          <w:szCs w:val="21"/>
        </w:rPr>
        <w:t>requirement</w:t>
      </w:r>
      <w:r w:rsidR="00C85C52">
        <w:rPr>
          <w:rFonts w:ascii="Arial" w:hAnsi="Arial" w:cs="Arial" w:hint="eastAsia"/>
          <w:sz w:val="21"/>
          <w:szCs w:val="21"/>
        </w:rPr>
        <w:t xml:space="preserve">. </w:t>
      </w:r>
    </w:p>
    <w:p w:rsidR="002A5A60" w:rsidRDefault="00A75121" w:rsidP="002A5A60">
      <w:pPr>
        <w:pStyle w:val="Heading1"/>
        <w:rPr>
          <w:rFonts w:cs="Arial"/>
          <w:lang w:eastAsia="zh-CN"/>
        </w:rPr>
      </w:pPr>
      <w:r>
        <w:rPr>
          <w:rFonts w:cs="Arial" w:hint="eastAsia"/>
          <w:lang w:eastAsia="zh-CN"/>
        </w:rPr>
        <w:t>Discussion</w:t>
      </w:r>
    </w:p>
    <w:p w:rsidR="000B71F1" w:rsidRDefault="00194A6F" w:rsidP="000B71F1">
      <w:pPr>
        <w:jc w:val="both"/>
        <w:rPr>
          <w:rFonts w:ascii="Arial" w:hAnsi="Arial" w:cs="Arial"/>
          <w:sz w:val="21"/>
          <w:szCs w:val="21"/>
        </w:rPr>
      </w:pPr>
      <w:r>
        <w:rPr>
          <w:rFonts w:ascii="Arial" w:hAnsi="Arial" w:cs="Arial" w:hint="eastAsia"/>
          <w:sz w:val="21"/>
          <w:szCs w:val="21"/>
        </w:rPr>
        <w:t xml:space="preserve">As indicated in [1] the issue to define RF </w:t>
      </w:r>
      <w:r>
        <w:rPr>
          <w:rFonts w:ascii="Arial" w:hAnsi="Arial" w:cs="Arial"/>
          <w:sz w:val="21"/>
          <w:szCs w:val="21"/>
        </w:rPr>
        <w:t>requirement</w:t>
      </w:r>
      <w:r>
        <w:rPr>
          <w:rFonts w:ascii="Arial" w:hAnsi="Arial" w:cs="Arial" w:hint="eastAsia"/>
          <w:sz w:val="21"/>
          <w:szCs w:val="21"/>
        </w:rPr>
        <w:t xml:space="preserve"> for backhaul and access link will bring in confusion since according to current understanding the backhaul link may be either </w:t>
      </w:r>
      <w:r>
        <w:rPr>
          <w:rFonts w:ascii="Arial" w:hAnsi="Arial" w:cs="Arial"/>
          <w:sz w:val="21"/>
          <w:szCs w:val="21"/>
        </w:rPr>
        <w:t>backhaul</w:t>
      </w:r>
      <w:r>
        <w:rPr>
          <w:rFonts w:ascii="Arial" w:hAnsi="Arial" w:cs="Arial" w:hint="eastAsia"/>
          <w:sz w:val="21"/>
          <w:szCs w:val="21"/>
        </w:rPr>
        <w:t xml:space="preserve"> link to donor </w:t>
      </w:r>
      <w:proofErr w:type="spellStart"/>
      <w:r>
        <w:rPr>
          <w:rFonts w:ascii="Arial" w:hAnsi="Arial" w:cs="Arial" w:hint="eastAsia"/>
          <w:sz w:val="21"/>
          <w:szCs w:val="21"/>
        </w:rPr>
        <w:t>gNB</w:t>
      </w:r>
      <w:proofErr w:type="spellEnd"/>
      <w:r>
        <w:rPr>
          <w:rFonts w:ascii="Arial" w:hAnsi="Arial" w:cs="Arial" w:hint="eastAsia"/>
          <w:sz w:val="21"/>
          <w:szCs w:val="21"/>
        </w:rPr>
        <w:t xml:space="preserve"> or parent IAB or backhaul link to child IAB node. </w:t>
      </w:r>
      <w:r w:rsidR="00B42905">
        <w:rPr>
          <w:rFonts w:ascii="Arial" w:hAnsi="Arial" w:cs="Arial" w:hint="eastAsia"/>
          <w:sz w:val="21"/>
          <w:szCs w:val="21"/>
        </w:rPr>
        <w:t xml:space="preserve">The problem is shown again in figure 1. </w:t>
      </w:r>
    </w:p>
    <w:p w:rsidR="00497EF1" w:rsidRDefault="00497EF1" w:rsidP="000B71F1">
      <w:pPr>
        <w:jc w:val="both"/>
        <w:rPr>
          <w:rFonts w:ascii="Arial" w:hAnsi="Arial" w:cs="Arial"/>
          <w:sz w:val="21"/>
          <w:szCs w:val="21"/>
        </w:rPr>
      </w:pPr>
    </w:p>
    <w:p w:rsidR="00497EF1" w:rsidRDefault="00497EF1" w:rsidP="00497EF1">
      <w:pPr>
        <w:jc w:val="center"/>
        <w:rPr>
          <w:rFonts w:ascii="Arial" w:hAnsi="Arial" w:cs="Arial"/>
          <w:sz w:val="21"/>
          <w:szCs w:val="21"/>
        </w:rPr>
      </w:pPr>
      <w:r>
        <w:rPr>
          <w:noProof/>
        </w:rPr>
        <w:drawing>
          <wp:inline distT="0" distB="0" distL="0" distR="0" wp14:anchorId="3972A357" wp14:editId="7DF10829">
            <wp:extent cx="4724400" cy="17731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400" cy="1773153"/>
                    </a:xfrm>
                    <a:prstGeom prst="rect">
                      <a:avLst/>
                    </a:prstGeom>
                    <a:noFill/>
                    <a:ln>
                      <a:noFill/>
                    </a:ln>
                  </pic:spPr>
                </pic:pic>
              </a:graphicData>
            </a:graphic>
          </wp:inline>
        </w:drawing>
      </w:r>
    </w:p>
    <w:p w:rsidR="00497EF1" w:rsidRDefault="00497EF1" w:rsidP="00497EF1">
      <w:pPr>
        <w:jc w:val="center"/>
        <w:rPr>
          <w:rFonts w:ascii="Arial" w:hAnsi="Arial" w:cs="Arial"/>
          <w:sz w:val="21"/>
          <w:szCs w:val="21"/>
        </w:rPr>
      </w:pPr>
      <w:r w:rsidRPr="00497EF1">
        <w:rPr>
          <w:rFonts w:ascii="Arial" w:hAnsi="Arial" w:cs="Arial"/>
          <w:sz w:val="21"/>
          <w:szCs w:val="21"/>
        </w:rPr>
        <w:t>Figure 1: Different IAB link types</w:t>
      </w:r>
      <w:r w:rsidRPr="00497EF1">
        <w:rPr>
          <w:rFonts w:ascii="Arial" w:hAnsi="Arial" w:cs="Arial" w:hint="eastAsia"/>
          <w:sz w:val="21"/>
          <w:szCs w:val="21"/>
        </w:rPr>
        <w:t xml:space="preserve"> (</w:t>
      </w:r>
      <w:r w:rsidRPr="00497EF1">
        <w:rPr>
          <w:rFonts w:ascii="Arial" w:hAnsi="Arial" w:cs="Arial"/>
          <w:sz w:val="21"/>
          <w:szCs w:val="21"/>
        </w:rPr>
        <w:t>Figure 7.3.1-1</w:t>
      </w:r>
      <w:r w:rsidRPr="00497EF1">
        <w:rPr>
          <w:rFonts w:ascii="Arial" w:hAnsi="Arial" w:cs="Arial" w:hint="eastAsia"/>
          <w:sz w:val="21"/>
          <w:szCs w:val="21"/>
        </w:rPr>
        <w:t xml:space="preserve"> in TS38.874)</w:t>
      </w:r>
    </w:p>
    <w:p w:rsidR="004C150D" w:rsidRPr="00206708" w:rsidRDefault="004C150D" w:rsidP="004C150D">
      <w:pPr>
        <w:spacing w:afterLines="50" w:after="156"/>
        <w:jc w:val="both"/>
        <w:rPr>
          <w:rFonts w:ascii="Arial" w:hAnsi="Arial" w:cs="Arial"/>
          <w:sz w:val="21"/>
          <w:szCs w:val="21"/>
        </w:rPr>
      </w:pPr>
      <w:r>
        <w:rPr>
          <w:rFonts w:ascii="Arial" w:hAnsi="Arial" w:cs="Arial" w:hint="eastAsia"/>
          <w:sz w:val="21"/>
          <w:szCs w:val="21"/>
        </w:rPr>
        <w:t>Furthermore, i</w:t>
      </w:r>
      <w:r w:rsidRPr="00206708">
        <w:rPr>
          <w:rFonts w:ascii="Arial" w:hAnsi="Arial" w:cs="Arial" w:hint="eastAsia"/>
          <w:sz w:val="21"/>
          <w:szCs w:val="21"/>
        </w:rPr>
        <w:t xml:space="preserve">n legacy study of 3GPP, the definition of Downlink and Uplink are captured in TS21.905 since very </w:t>
      </w:r>
      <w:r>
        <w:rPr>
          <w:rFonts w:ascii="Arial" w:hAnsi="Arial" w:cs="Arial" w:hint="eastAsia"/>
          <w:sz w:val="21"/>
          <w:szCs w:val="21"/>
        </w:rPr>
        <w:t>early stage as following:</w:t>
      </w:r>
      <w:r w:rsidRPr="00206708">
        <w:rPr>
          <w:rFonts w:ascii="Arial" w:hAnsi="Arial" w:cs="Arial" w:hint="eastAsia"/>
          <w:sz w:val="21"/>
          <w:szCs w:val="21"/>
        </w:rPr>
        <w:t xml:space="preserve"> </w:t>
      </w:r>
    </w:p>
    <w:p w:rsidR="004C150D" w:rsidRPr="00E24AE6" w:rsidRDefault="004C150D" w:rsidP="004C150D">
      <w:pPr>
        <w:jc w:val="both"/>
        <w:rPr>
          <w:rFonts w:ascii="Arial" w:hAnsi="Arial" w:cs="Arial"/>
          <w:sz w:val="21"/>
          <w:szCs w:val="21"/>
        </w:rPr>
      </w:pPr>
      <w:r w:rsidRPr="00E24AE6">
        <w:rPr>
          <w:rFonts w:ascii="Arial" w:hAnsi="Arial" w:cs="Arial"/>
          <w:b/>
          <w:sz w:val="21"/>
          <w:szCs w:val="21"/>
        </w:rPr>
        <w:t>Downlink</w:t>
      </w:r>
      <w:r w:rsidRPr="00E24AE6">
        <w:rPr>
          <w:rFonts w:ascii="Arial" w:hAnsi="Arial" w:cs="Arial"/>
          <w:sz w:val="21"/>
          <w:szCs w:val="21"/>
        </w:rPr>
        <w:t xml:space="preserve">: Unidirectional radio link for the transmission of signals from a UTRAN access point to a UE. </w:t>
      </w:r>
      <w:proofErr w:type="gramStart"/>
      <w:r w:rsidRPr="00E24AE6">
        <w:rPr>
          <w:rFonts w:ascii="Arial" w:hAnsi="Arial" w:cs="Arial"/>
          <w:sz w:val="21"/>
          <w:szCs w:val="21"/>
        </w:rPr>
        <w:t>Also in general the direction from Network to UE.</w:t>
      </w:r>
      <w:proofErr w:type="gramEnd"/>
    </w:p>
    <w:p w:rsidR="004C150D" w:rsidRDefault="004C150D" w:rsidP="004C150D">
      <w:pPr>
        <w:jc w:val="both"/>
        <w:rPr>
          <w:rFonts w:ascii="Arial" w:hAnsi="Arial" w:cs="Arial" w:hint="eastAsia"/>
          <w:sz w:val="21"/>
          <w:szCs w:val="21"/>
        </w:rPr>
      </w:pPr>
      <w:r w:rsidRPr="00E24AE6">
        <w:rPr>
          <w:rFonts w:ascii="Arial" w:hAnsi="Arial" w:cs="Arial"/>
          <w:b/>
          <w:sz w:val="21"/>
          <w:szCs w:val="21"/>
        </w:rPr>
        <w:t>Uplink</w:t>
      </w:r>
      <w:r w:rsidRPr="00E24AE6">
        <w:rPr>
          <w:rFonts w:ascii="Arial" w:hAnsi="Arial" w:cs="Arial"/>
          <w:sz w:val="21"/>
          <w:szCs w:val="21"/>
        </w:rPr>
        <w:t>: An "uplink" is a unidirectional radio link for the transmission of signals from a UE to a base station, from a Mobile Station to a mobile base station or from a mobile base station to a base station.</w:t>
      </w:r>
    </w:p>
    <w:p w:rsidR="00E24AE6" w:rsidRDefault="00E24AE6" w:rsidP="004C150D">
      <w:pPr>
        <w:jc w:val="both"/>
        <w:rPr>
          <w:rFonts w:ascii="Arial" w:hAnsi="Arial" w:cs="Arial"/>
          <w:sz w:val="21"/>
          <w:szCs w:val="21"/>
        </w:rPr>
      </w:pPr>
      <w:bookmarkStart w:id="0" w:name="_GoBack"/>
      <w:bookmarkEnd w:id="0"/>
    </w:p>
    <w:p w:rsidR="00600080" w:rsidRDefault="004C150D" w:rsidP="004C150D">
      <w:pPr>
        <w:jc w:val="both"/>
        <w:rPr>
          <w:rFonts w:ascii="Arial" w:hAnsi="Arial" w:cs="Arial"/>
          <w:sz w:val="21"/>
          <w:szCs w:val="21"/>
        </w:rPr>
      </w:pPr>
      <w:r>
        <w:rPr>
          <w:rFonts w:ascii="Arial" w:hAnsi="Arial" w:cs="Arial" w:hint="eastAsia"/>
          <w:sz w:val="21"/>
          <w:szCs w:val="21"/>
        </w:rPr>
        <w:lastRenderedPageBreak/>
        <w:t xml:space="preserve">In the context of IAB, this may not be applicable if scenario 2 considered, which is proposed to support </w:t>
      </w:r>
      <w:r>
        <w:rPr>
          <w:rFonts w:ascii="Arial" w:hAnsi="Arial" w:cs="Arial"/>
          <w:sz w:val="21"/>
          <w:szCs w:val="21"/>
        </w:rPr>
        <w:t>simultaneously</w:t>
      </w:r>
      <w:r>
        <w:rPr>
          <w:rFonts w:ascii="Arial" w:hAnsi="Arial" w:cs="Arial" w:hint="eastAsia"/>
          <w:sz w:val="21"/>
          <w:szCs w:val="21"/>
        </w:rPr>
        <w:t xml:space="preserve"> transmission on DL time slot for both directions. </w:t>
      </w:r>
      <w:r w:rsidRPr="00206708">
        <w:rPr>
          <w:rFonts w:ascii="Arial" w:hAnsi="Arial" w:cs="Arial" w:hint="eastAsia"/>
          <w:sz w:val="21"/>
          <w:szCs w:val="21"/>
        </w:rPr>
        <w:t>It seems if we allow such deployment corresponding terminologies need to be updated accordingly.</w:t>
      </w:r>
      <w:r>
        <w:rPr>
          <w:rFonts w:ascii="Arial" w:hAnsi="Arial" w:cs="Arial" w:hint="eastAsia"/>
          <w:sz w:val="21"/>
          <w:szCs w:val="21"/>
        </w:rPr>
        <w:t xml:space="preserve"> Or we have to bring in new term(s) for this case. </w:t>
      </w:r>
      <w:r w:rsidR="00194A6F">
        <w:rPr>
          <w:rFonts w:ascii="Arial" w:hAnsi="Arial" w:cs="Arial" w:hint="eastAsia"/>
          <w:sz w:val="21"/>
          <w:szCs w:val="21"/>
        </w:rPr>
        <w:t>Hence we propose</w:t>
      </w:r>
      <w:r w:rsidR="00B42905">
        <w:rPr>
          <w:rFonts w:ascii="Arial" w:hAnsi="Arial" w:cs="Arial" w:hint="eastAsia"/>
          <w:sz w:val="21"/>
          <w:szCs w:val="21"/>
        </w:rPr>
        <w:t xml:space="preserve"> in [1]</w:t>
      </w:r>
      <w:r w:rsidR="00194A6F">
        <w:rPr>
          <w:rFonts w:ascii="Arial" w:hAnsi="Arial" w:cs="Arial" w:hint="eastAsia"/>
          <w:sz w:val="21"/>
          <w:szCs w:val="21"/>
        </w:rPr>
        <w:t xml:space="preserve"> to </w:t>
      </w:r>
      <w:r w:rsidR="00600080">
        <w:rPr>
          <w:rFonts w:ascii="Arial" w:hAnsi="Arial" w:cs="Arial" w:hint="eastAsia"/>
          <w:sz w:val="21"/>
          <w:szCs w:val="21"/>
        </w:rPr>
        <w:t>introduce two terminologies as IAB-MT and IAB-DU</w:t>
      </w:r>
      <w:r w:rsidR="00B42905">
        <w:rPr>
          <w:rFonts w:ascii="Arial" w:hAnsi="Arial" w:cs="Arial" w:hint="eastAsia"/>
          <w:sz w:val="21"/>
          <w:szCs w:val="21"/>
        </w:rPr>
        <w:t xml:space="preserve"> as illustrated in figure 2</w:t>
      </w:r>
      <w:r w:rsidR="00600080">
        <w:rPr>
          <w:rFonts w:ascii="Arial" w:hAnsi="Arial" w:cs="Arial" w:hint="eastAsia"/>
          <w:sz w:val="21"/>
          <w:szCs w:val="21"/>
        </w:rPr>
        <w:t xml:space="preserve">, which </w:t>
      </w:r>
      <w:r w:rsidR="00600080" w:rsidRPr="00600080">
        <w:rPr>
          <w:rFonts w:ascii="Arial" w:hAnsi="Arial" w:cs="Arial" w:hint="eastAsia"/>
          <w:sz w:val="21"/>
          <w:szCs w:val="21"/>
        </w:rPr>
        <w:t xml:space="preserve">could be recognized as </w:t>
      </w:r>
      <w:r w:rsidR="00600080" w:rsidRPr="00600080">
        <w:rPr>
          <w:rFonts w:ascii="Arial" w:hAnsi="Arial" w:cs="Arial"/>
          <w:sz w:val="21"/>
          <w:szCs w:val="21"/>
        </w:rPr>
        <w:t>separated</w:t>
      </w:r>
      <w:r w:rsidR="00600080" w:rsidRPr="00600080">
        <w:rPr>
          <w:rFonts w:ascii="Arial" w:hAnsi="Arial" w:cs="Arial" w:hint="eastAsia"/>
          <w:sz w:val="21"/>
          <w:szCs w:val="21"/>
        </w:rPr>
        <w:t xml:space="preserve"> functional modules for which RF performance requirements are anticipated to be defined and verified properly. </w:t>
      </w:r>
    </w:p>
    <w:p w:rsidR="004C150D" w:rsidRPr="00600080" w:rsidRDefault="004C150D" w:rsidP="004C150D">
      <w:pPr>
        <w:jc w:val="both"/>
        <w:rPr>
          <w:rFonts w:ascii="Arial" w:hAnsi="Arial" w:cs="Arial"/>
          <w:sz w:val="21"/>
          <w:szCs w:val="21"/>
        </w:rPr>
      </w:pPr>
    </w:p>
    <w:p w:rsidR="00600080" w:rsidRPr="00600080" w:rsidRDefault="00B42905" w:rsidP="00600080">
      <w:pPr>
        <w:rPr>
          <w:rFonts w:ascii="Arial" w:hAnsi="Arial" w:cs="Arial"/>
          <w:sz w:val="21"/>
          <w:szCs w:val="21"/>
        </w:rPr>
      </w:pPr>
      <w:r w:rsidRPr="004C150D">
        <w:rPr>
          <w:rFonts w:ascii="Arial" w:hAnsi="Arial" w:cs="Arial" w:hint="eastAsia"/>
          <w:b/>
          <w:sz w:val="21"/>
          <w:szCs w:val="21"/>
        </w:rPr>
        <w:t>Alternative 1</w:t>
      </w:r>
      <w:r w:rsidR="00600080" w:rsidRPr="00600080">
        <w:rPr>
          <w:rFonts w:ascii="Arial" w:hAnsi="Arial" w:cs="Arial" w:hint="eastAsia"/>
          <w:sz w:val="21"/>
          <w:szCs w:val="21"/>
        </w:rPr>
        <w:t>: IAB-MT and IAB-DU</w:t>
      </w:r>
      <w:r>
        <w:rPr>
          <w:rFonts w:ascii="Arial" w:hAnsi="Arial" w:cs="Arial" w:hint="eastAsia"/>
          <w:sz w:val="21"/>
          <w:szCs w:val="21"/>
        </w:rPr>
        <w:t xml:space="preserve"> with definition below can</w:t>
      </w:r>
      <w:r w:rsidR="00600080" w:rsidRPr="00600080">
        <w:rPr>
          <w:rFonts w:ascii="Arial" w:hAnsi="Arial" w:cs="Arial" w:hint="eastAsia"/>
          <w:sz w:val="21"/>
          <w:szCs w:val="21"/>
        </w:rPr>
        <w:t xml:space="preserve"> be used in IAB RAN4 RF performance TS. </w:t>
      </w:r>
    </w:p>
    <w:p w:rsidR="00600080" w:rsidRPr="00600080" w:rsidRDefault="00600080" w:rsidP="00EE3220">
      <w:pPr>
        <w:ind w:leftChars="100" w:left="240"/>
        <w:rPr>
          <w:rFonts w:ascii="Arial" w:hAnsi="Arial" w:cs="Arial"/>
          <w:sz w:val="21"/>
          <w:szCs w:val="21"/>
        </w:rPr>
      </w:pPr>
      <w:r w:rsidRPr="00600080">
        <w:rPr>
          <w:rFonts w:ascii="Arial" w:hAnsi="Arial" w:cs="Arial" w:hint="eastAsia"/>
          <w:sz w:val="21"/>
          <w:szCs w:val="21"/>
        </w:rPr>
        <w:t xml:space="preserve">IAB-MT: the [subset] </w:t>
      </w:r>
      <w:r w:rsidRPr="00600080">
        <w:rPr>
          <w:rFonts w:ascii="Arial" w:hAnsi="Arial" w:cs="Arial"/>
          <w:sz w:val="21"/>
          <w:szCs w:val="21"/>
        </w:rPr>
        <w:t>function</w:t>
      </w:r>
      <w:r w:rsidRPr="00600080">
        <w:rPr>
          <w:rFonts w:ascii="Arial" w:hAnsi="Arial" w:cs="Arial" w:hint="eastAsia"/>
          <w:sz w:val="21"/>
          <w:szCs w:val="21"/>
        </w:rPr>
        <w:t xml:space="preserve"> as UE in IAB node to communicate with its parent node.</w:t>
      </w:r>
    </w:p>
    <w:p w:rsidR="00600080" w:rsidRPr="00600080" w:rsidRDefault="00600080" w:rsidP="00EE3220">
      <w:pPr>
        <w:ind w:leftChars="100" w:left="240"/>
        <w:rPr>
          <w:rFonts w:ascii="Arial" w:hAnsi="Arial" w:cs="Arial"/>
          <w:sz w:val="21"/>
          <w:szCs w:val="21"/>
        </w:rPr>
      </w:pPr>
      <w:r w:rsidRPr="00600080">
        <w:rPr>
          <w:rFonts w:ascii="Arial" w:hAnsi="Arial" w:cs="Arial" w:hint="eastAsia"/>
          <w:sz w:val="21"/>
          <w:szCs w:val="21"/>
        </w:rPr>
        <w:t xml:space="preserve">IAB-DU: the partial functions as </w:t>
      </w:r>
      <w:proofErr w:type="spellStart"/>
      <w:r w:rsidRPr="00600080">
        <w:rPr>
          <w:rFonts w:ascii="Arial" w:hAnsi="Arial" w:cs="Arial" w:hint="eastAsia"/>
          <w:sz w:val="21"/>
          <w:szCs w:val="21"/>
        </w:rPr>
        <w:t>gNB</w:t>
      </w:r>
      <w:proofErr w:type="spellEnd"/>
      <w:r w:rsidRPr="00600080">
        <w:rPr>
          <w:rFonts w:ascii="Arial" w:hAnsi="Arial" w:cs="Arial" w:hint="eastAsia"/>
          <w:sz w:val="21"/>
          <w:szCs w:val="21"/>
        </w:rPr>
        <w:t xml:space="preserve"> in IAB node to communicate with UE or child node</w:t>
      </w:r>
    </w:p>
    <w:p w:rsidR="00194A6F" w:rsidRPr="00600080" w:rsidRDefault="00194A6F" w:rsidP="00194A6F">
      <w:pPr>
        <w:rPr>
          <w:rFonts w:ascii="Arial" w:hAnsi="Arial" w:cs="Arial"/>
          <w:sz w:val="21"/>
          <w:szCs w:val="21"/>
        </w:rPr>
      </w:pPr>
    </w:p>
    <w:p w:rsidR="00497EF1" w:rsidRDefault="00A25EF7" w:rsidP="00497EF1">
      <w:pPr>
        <w:jc w:val="center"/>
      </w:pPr>
      <w:r>
        <w:object w:dxaOrig="9052" w:dyaOrig="2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137.35pt" o:ole="">
            <v:imagedata r:id="rId10" o:title=""/>
          </v:shape>
          <o:OLEObject Type="Embed" ProgID="Visio.Drawing.11" ShapeID="_x0000_i1025" DrawAspect="Content" ObjectID="_1627483571" r:id="rId11"/>
        </w:object>
      </w:r>
    </w:p>
    <w:p w:rsidR="00497EF1" w:rsidRDefault="00497EF1" w:rsidP="00497EF1">
      <w:pPr>
        <w:jc w:val="center"/>
        <w:rPr>
          <w:rFonts w:ascii="Arial" w:hAnsi="Arial" w:cs="Arial"/>
          <w:sz w:val="21"/>
          <w:szCs w:val="21"/>
        </w:rPr>
      </w:pPr>
      <w:r w:rsidRPr="00A25EF7">
        <w:rPr>
          <w:rFonts w:ascii="Arial" w:hAnsi="Arial" w:cs="Arial" w:hint="eastAsia"/>
          <w:sz w:val="21"/>
          <w:szCs w:val="21"/>
        </w:rPr>
        <w:t>Figure</w:t>
      </w:r>
      <w:r w:rsidR="00A25EF7">
        <w:rPr>
          <w:rFonts w:ascii="Arial" w:hAnsi="Arial" w:cs="Arial" w:hint="eastAsia"/>
          <w:sz w:val="21"/>
          <w:szCs w:val="21"/>
        </w:rPr>
        <w:t xml:space="preserve"> 2: alternative 1 on how to </w:t>
      </w:r>
      <w:r w:rsidR="00B42905">
        <w:rPr>
          <w:rFonts w:ascii="Arial" w:hAnsi="Arial" w:cs="Arial" w:hint="eastAsia"/>
          <w:sz w:val="21"/>
          <w:szCs w:val="21"/>
        </w:rPr>
        <w:t>distinguish</w:t>
      </w:r>
      <w:r w:rsidR="00A25EF7">
        <w:rPr>
          <w:rFonts w:ascii="Arial" w:hAnsi="Arial" w:cs="Arial" w:hint="eastAsia"/>
          <w:sz w:val="21"/>
          <w:szCs w:val="21"/>
        </w:rPr>
        <w:t xml:space="preserve"> IAB requirement </w:t>
      </w:r>
    </w:p>
    <w:p w:rsidR="00B42905" w:rsidRPr="00B42905" w:rsidRDefault="00B42905" w:rsidP="00B42905"/>
    <w:p w:rsidR="00A25EF7" w:rsidRDefault="004C150D" w:rsidP="004C150D">
      <w:pPr>
        <w:jc w:val="both"/>
        <w:rPr>
          <w:rFonts w:ascii="Arial" w:hAnsi="Arial" w:cs="Arial"/>
          <w:sz w:val="21"/>
          <w:szCs w:val="21"/>
        </w:rPr>
      </w:pPr>
      <w:r w:rsidRPr="00EE3220">
        <w:rPr>
          <w:rFonts w:ascii="Arial" w:hAnsi="Arial" w:cs="Arial" w:hint="eastAsia"/>
          <w:sz w:val="21"/>
          <w:szCs w:val="21"/>
        </w:rPr>
        <w:t xml:space="preserve">The other </w:t>
      </w:r>
      <w:r w:rsidR="00EE3220">
        <w:rPr>
          <w:rFonts w:ascii="Arial" w:hAnsi="Arial" w:cs="Arial" w:hint="eastAsia"/>
          <w:sz w:val="21"/>
          <w:szCs w:val="21"/>
        </w:rPr>
        <w:t xml:space="preserve">alternative is illustrated as figure 3. Transmission on downstream link of target IAB is on UL physical channel. Reception on downstream link of target IAB is on DL physical channel. Transmission on upstream link of target IAB is on DL physical channel. Reception on downstream link of target IAB is on UL physical channel. There is no restriction on which </w:t>
      </w:r>
      <w:r w:rsidR="00EE3220">
        <w:rPr>
          <w:rFonts w:ascii="Arial" w:hAnsi="Arial" w:cs="Arial"/>
          <w:sz w:val="21"/>
          <w:szCs w:val="21"/>
        </w:rPr>
        <w:t>timeslot</w:t>
      </w:r>
      <w:r w:rsidR="00EE3220">
        <w:rPr>
          <w:rFonts w:ascii="Arial" w:hAnsi="Arial" w:cs="Arial" w:hint="eastAsia"/>
          <w:sz w:val="21"/>
          <w:szCs w:val="21"/>
        </w:rPr>
        <w:t xml:space="preserve"> of TRX. </w:t>
      </w:r>
    </w:p>
    <w:p w:rsidR="0029608B" w:rsidRDefault="0029608B" w:rsidP="004C150D">
      <w:pPr>
        <w:jc w:val="both"/>
        <w:rPr>
          <w:rFonts w:ascii="Arial" w:hAnsi="Arial" w:cs="Arial"/>
          <w:sz w:val="21"/>
          <w:szCs w:val="21"/>
        </w:rPr>
      </w:pPr>
    </w:p>
    <w:p w:rsidR="00EE3220" w:rsidRPr="00600080" w:rsidRDefault="00EE3220" w:rsidP="00EE3220">
      <w:pPr>
        <w:rPr>
          <w:rFonts w:ascii="Arial" w:hAnsi="Arial" w:cs="Arial"/>
          <w:sz w:val="21"/>
          <w:szCs w:val="21"/>
        </w:rPr>
      </w:pPr>
      <w:r w:rsidRPr="004C150D">
        <w:rPr>
          <w:rFonts w:ascii="Arial" w:hAnsi="Arial" w:cs="Arial" w:hint="eastAsia"/>
          <w:b/>
          <w:sz w:val="21"/>
          <w:szCs w:val="21"/>
        </w:rPr>
        <w:t xml:space="preserve">Alternative </w:t>
      </w:r>
      <w:r w:rsidR="0029608B">
        <w:rPr>
          <w:rFonts w:ascii="Arial" w:hAnsi="Arial" w:cs="Arial" w:hint="eastAsia"/>
          <w:b/>
          <w:sz w:val="21"/>
          <w:szCs w:val="21"/>
        </w:rPr>
        <w:t>2</w:t>
      </w:r>
      <w:r w:rsidRPr="00600080">
        <w:rPr>
          <w:rFonts w:ascii="Arial" w:hAnsi="Arial" w:cs="Arial" w:hint="eastAsia"/>
          <w:sz w:val="21"/>
          <w:szCs w:val="21"/>
        </w:rPr>
        <w:t xml:space="preserve">: </w:t>
      </w:r>
      <w:r>
        <w:rPr>
          <w:rFonts w:ascii="Arial" w:hAnsi="Arial" w:cs="Arial" w:hint="eastAsia"/>
          <w:sz w:val="21"/>
          <w:szCs w:val="21"/>
        </w:rPr>
        <w:t>downstream link and upstream link with definition below can</w:t>
      </w:r>
      <w:r w:rsidRPr="00600080">
        <w:rPr>
          <w:rFonts w:ascii="Arial" w:hAnsi="Arial" w:cs="Arial" w:hint="eastAsia"/>
          <w:sz w:val="21"/>
          <w:szCs w:val="21"/>
        </w:rPr>
        <w:t xml:space="preserve"> be used in IAB RAN4 RF performance TS. </w:t>
      </w:r>
    </w:p>
    <w:p w:rsidR="00EE3220" w:rsidRPr="00600080" w:rsidRDefault="00EE3220" w:rsidP="00EE3220">
      <w:pPr>
        <w:ind w:leftChars="100" w:left="240"/>
        <w:rPr>
          <w:rFonts w:ascii="Arial" w:hAnsi="Arial" w:cs="Arial"/>
          <w:sz w:val="21"/>
          <w:szCs w:val="21"/>
        </w:rPr>
      </w:pPr>
      <w:r>
        <w:rPr>
          <w:rFonts w:ascii="Arial" w:hAnsi="Arial" w:cs="Arial"/>
          <w:sz w:val="21"/>
          <w:szCs w:val="21"/>
        </w:rPr>
        <w:t>D</w:t>
      </w:r>
      <w:r>
        <w:rPr>
          <w:rFonts w:ascii="Arial" w:hAnsi="Arial" w:cs="Arial" w:hint="eastAsia"/>
          <w:sz w:val="21"/>
          <w:szCs w:val="21"/>
        </w:rPr>
        <w:t>ownstream link</w:t>
      </w:r>
      <w:r w:rsidRPr="00600080">
        <w:rPr>
          <w:rFonts w:ascii="Arial" w:hAnsi="Arial" w:cs="Arial" w:hint="eastAsia"/>
          <w:sz w:val="21"/>
          <w:szCs w:val="21"/>
        </w:rPr>
        <w:t>:</w:t>
      </w:r>
      <w:r w:rsidR="0029608B">
        <w:rPr>
          <w:rFonts w:ascii="Arial" w:hAnsi="Arial" w:cs="Arial" w:hint="eastAsia"/>
          <w:sz w:val="21"/>
          <w:szCs w:val="21"/>
        </w:rPr>
        <w:t xml:space="preserve"> link between IAB node and child IAB and/or UE with TX on DL </w:t>
      </w:r>
      <w:r w:rsidR="0029608B">
        <w:rPr>
          <w:rFonts w:ascii="Arial" w:hAnsi="Arial" w:cs="Arial"/>
          <w:sz w:val="21"/>
          <w:szCs w:val="21"/>
        </w:rPr>
        <w:t>physical</w:t>
      </w:r>
      <w:r w:rsidR="0029608B">
        <w:rPr>
          <w:rFonts w:ascii="Arial" w:hAnsi="Arial" w:cs="Arial" w:hint="eastAsia"/>
          <w:sz w:val="21"/>
          <w:szCs w:val="21"/>
        </w:rPr>
        <w:t xml:space="preserve"> channel and RX on UL physical channel</w:t>
      </w:r>
    </w:p>
    <w:p w:rsidR="00EE3220" w:rsidRPr="00600080" w:rsidRDefault="00EE3220" w:rsidP="00EE3220">
      <w:pPr>
        <w:ind w:leftChars="100" w:left="240"/>
        <w:rPr>
          <w:rFonts w:ascii="Arial" w:hAnsi="Arial" w:cs="Arial"/>
          <w:sz w:val="21"/>
          <w:szCs w:val="21"/>
        </w:rPr>
      </w:pPr>
      <w:r>
        <w:rPr>
          <w:rFonts w:ascii="Arial" w:hAnsi="Arial" w:cs="Arial" w:hint="eastAsia"/>
          <w:sz w:val="21"/>
          <w:szCs w:val="21"/>
        </w:rPr>
        <w:t>Upstream link</w:t>
      </w:r>
      <w:r w:rsidRPr="00600080">
        <w:rPr>
          <w:rFonts w:ascii="Arial" w:hAnsi="Arial" w:cs="Arial" w:hint="eastAsia"/>
          <w:sz w:val="21"/>
          <w:szCs w:val="21"/>
        </w:rPr>
        <w:t xml:space="preserve">: </w:t>
      </w:r>
      <w:r w:rsidR="0029608B">
        <w:rPr>
          <w:rFonts w:ascii="Arial" w:hAnsi="Arial" w:cs="Arial" w:hint="eastAsia"/>
          <w:sz w:val="21"/>
          <w:szCs w:val="21"/>
        </w:rPr>
        <w:t>link between IAB node and parent node with TX on UL physical channel and RX on DL physical channel.</w:t>
      </w:r>
    </w:p>
    <w:p w:rsidR="00EE3220" w:rsidRPr="00EE3220" w:rsidRDefault="00EE3220" w:rsidP="004C150D">
      <w:pPr>
        <w:jc w:val="both"/>
        <w:rPr>
          <w:rFonts w:ascii="Arial" w:hAnsi="Arial" w:cs="Arial"/>
          <w:sz w:val="21"/>
          <w:szCs w:val="21"/>
        </w:rPr>
      </w:pPr>
    </w:p>
    <w:p w:rsidR="00A25EF7" w:rsidRDefault="00A25EF7" w:rsidP="00497EF1">
      <w:pPr>
        <w:jc w:val="center"/>
      </w:pPr>
      <w:r>
        <w:object w:dxaOrig="9170" w:dyaOrig="2887">
          <v:shape id="_x0000_i1026" type="#_x0000_t75" style="width:425.35pt;height:134.05pt" o:ole="">
            <v:imagedata r:id="rId12" o:title=""/>
          </v:shape>
          <o:OLEObject Type="Embed" ProgID="Visio.Drawing.11" ShapeID="_x0000_i1026" DrawAspect="Content" ObjectID="_1627483572" r:id="rId13"/>
        </w:object>
      </w:r>
    </w:p>
    <w:p w:rsidR="00A25EF7" w:rsidRDefault="00A25EF7" w:rsidP="00A25EF7">
      <w:pPr>
        <w:jc w:val="center"/>
      </w:pPr>
      <w:r w:rsidRPr="00A25EF7">
        <w:rPr>
          <w:rFonts w:ascii="Arial" w:hAnsi="Arial" w:cs="Arial" w:hint="eastAsia"/>
          <w:sz w:val="21"/>
          <w:szCs w:val="21"/>
        </w:rPr>
        <w:t>Figure</w:t>
      </w:r>
      <w:r>
        <w:rPr>
          <w:rFonts w:ascii="Arial" w:hAnsi="Arial" w:cs="Arial" w:hint="eastAsia"/>
          <w:sz w:val="21"/>
          <w:szCs w:val="21"/>
        </w:rPr>
        <w:t xml:space="preserve"> 3: alternative 2 on how to </w:t>
      </w:r>
      <w:r w:rsidR="00B42905">
        <w:rPr>
          <w:rFonts w:ascii="Arial" w:hAnsi="Arial" w:cs="Arial" w:hint="eastAsia"/>
          <w:sz w:val="21"/>
          <w:szCs w:val="21"/>
        </w:rPr>
        <w:t>distinguish</w:t>
      </w:r>
      <w:r>
        <w:rPr>
          <w:rFonts w:ascii="Arial" w:hAnsi="Arial" w:cs="Arial" w:hint="eastAsia"/>
          <w:sz w:val="21"/>
          <w:szCs w:val="21"/>
        </w:rPr>
        <w:t xml:space="preserve"> IAB requirement </w:t>
      </w:r>
    </w:p>
    <w:p w:rsidR="00A25EF7" w:rsidRPr="00A25EF7" w:rsidRDefault="00A25EF7" w:rsidP="00497EF1">
      <w:pPr>
        <w:jc w:val="center"/>
        <w:rPr>
          <w:rFonts w:ascii="Arial" w:hAnsi="Arial" w:cs="Arial"/>
          <w:sz w:val="21"/>
          <w:szCs w:val="21"/>
        </w:rPr>
      </w:pPr>
    </w:p>
    <w:p w:rsidR="00497EF1" w:rsidRDefault="00FE2715" w:rsidP="000B71F1">
      <w:pPr>
        <w:jc w:val="both"/>
        <w:rPr>
          <w:rFonts w:ascii="Arial" w:hAnsi="Arial" w:cs="Arial"/>
          <w:sz w:val="21"/>
          <w:szCs w:val="21"/>
        </w:rPr>
      </w:pPr>
      <w:r>
        <w:rPr>
          <w:rFonts w:ascii="Arial" w:hAnsi="Arial" w:cs="Arial" w:hint="eastAsia"/>
          <w:sz w:val="21"/>
          <w:szCs w:val="21"/>
        </w:rPr>
        <w:t>As suggested in [2], i</w:t>
      </w:r>
      <w:r w:rsidR="00E21178">
        <w:rPr>
          <w:rFonts w:ascii="Arial" w:hAnsi="Arial" w:cs="Arial" w:hint="eastAsia"/>
          <w:sz w:val="21"/>
          <w:szCs w:val="21"/>
        </w:rPr>
        <w:t xml:space="preserve">n the skeleton of IAB specification, </w:t>
      </w:r>
      <w:r w:rsidR="00E21178" w:rsidRPr="00E21178">
        <w:rPr>
          <w:rFonts w:ascii="Arial" w:hAnsi="Arial" w:cs="Arial"/>
          <w:sz w:val="21"/>
          <w:szCs w:val="21"/>
        </w:rPr>
        <w:t>Transmitter characteristics</w:t>
      </w:r>
      <w:r w:rsidR="00E21178">
        <w:rPr>
          <w:rFonts w:ascii="Arial" w:hAnsi="Arial" w:cs="Arial" w:hint="eastAsia"/>
          <w:sz w:val="21"/>
          <w:szCs w:val="21"/>
        </w:rPr>
        <w:t xml:space="preserve"> can be defined </w:t>
      </w:r>
      <w:r w:rsidR="00E21178">
        <w:rPr>
          <w:rFonts w:ascii="Arial" w:hAnsi="Arial" w:cs="Arial"/>
          <w:sz w:val="21"/>
          <w:szCs w:val="21"/>
        </w:rPr>
        <w:t>agnostic</w:t>
      </w:r>
      <w:r w:rsidR="00E21178">
        <w:rPr>
          <w:rFonts w:ascii="Arial" w:hAnsi="Arial" w:cs="Arial" w:hint="eastAsia"/>
          <w:sz w:val="21"/>
          <w:szCs w:val="21"/>
        </w:rPr>
        <w:t xml:space="preserve"> to MT or DU, downstream or upstream</w:t>
      </w:r>
      <w:r w:rsidR="00275322">
        <w:rPr>
          <w:rFonts w:ascii="Arial" w:hAnsi="Arial" w:cs="Arial" w:hint="eastAsia"/>
          <w:sz w:val="21"/>
          <w:szCs w:val="21"/>
        </w:rPr>
        <w:t xml:space="preserve"> as much as possible</w:t>
      </w:r>
      <w:r w:rsidR="00E21178">
        <w:rPr>
          <w:rFonts w:ascii="Arial" w:hAnsi="Arial" w:cs="Arial" w:hint="eastAsia"/>
          <w:sz w:val="21"/>
          <w:szCs w:val="21"/>
        </w:rPr>
        <w:t>. Both alternatives can be used to indi</w:t>
      </w:r>
      <w:r w:rsidR="00275322">
        <w:rPr>
          <w:rFonts w:ascii="Arial" w:hAnsi="Arial" w:cs="Arial" w:hint="eastAsia"/>
          <w:sz w:val="21"/>
          <w:szCs w:val="21"/>
        </w:rPr>
        <w:t xml:space="preserve">cate </w:t>
      </w:r>
      <w:r w:rsidR="00E21178">
        <w:rPr>
          <w:rFonts w:ascii="Arial" w:hAnsi="Arial" w:cs="Arial" w:hint="eastAsia"/>
          <w:sz w:val="21"/>
          <w:szCs w:val="21"/>
        </w:rPr>
        <w:t xml:space="preserve">the </w:t>
      </w:r>
      <w:r w:rsidR="001A5FD5">
        <w:rPr>
          <w:rFonts w:ascii="Arial" w:hAnsi="Arial" w:cs="Arial" w:hint="eastAsia"/>
          <w:sz w:val="21"/>
          <w:szCs w:val="21"/>
        </w:rPr>
        <w:t xml:space="preserve">TX </w:t>
      </w:r>
      <w:r w:rsidR="00E21178">
        <w:rPr>
          <w:rFonts w:ascii="Arial" w:hAnsi="Arial" w:cs="Arial" w:hint="eastAsia"/>
          <w:sz w:val="21"/>
          <w:szCs w:val="21"/>
        </w:rPr>
        <w:t xml:space="preserve">RF </w:t>
      </w:r>
      <w:r w:rsidR="00E21178">
        <w:rPr>
          <w:rFonts w:ascii="Arial" w:hAnsi="Arial" w:cs="Arial"/>
          <w:sz w:val="21"/>
          <w:szCs w:val="21"/>
        </w:rPr>
        <w:t>requirement</w:t>
      </w:r>
      <w:r w:rsidR="00E21178">
        <w:rPr>
          <w:rFonts w:ascii="Arial" w:hAnsi="Arial" w:cs="Arial" w:hint="eastAsia"/>
          <w:sz w:val="21"/>
          <w:szCs w:val="21"/>
        </w:rPr>
        <w:t xml:space="preserve"> applicability</w:t>
      </w:r>
      <w:r w:rsidR="001A5FD5">
        <w:rPr>
          <w:rFonts w:ascii="Arial" w:hAnsi="Arial" w:cs="Arial" w:hint="eastAsia"/>
          <w:sz w:val="21"/>
          <w:szCs w:val="21"/>
        </w:rPr>
        <w:t xml:space="preserve"> which is to be </w:t>
      </w:r>
      <w:r w:rsidR="001A5FD5">
        <w:rPr>
          <w:rFonts w:ascii="Arial" w:hAnsi="Arial" w:cs="Arial"/>
          <w:sz w:val="21"/>
          <w:szCs w:val="21"/>
        </w:rPr>
        <w:t>summarized</w:t>
      </w:r>
      <w:r w:rsidR="001A5FD5">
        <w:rPr>
          <w:rFonts w:ascii="Arial" w:hAnsi="Arial" w:cs="Arial" w:hint="eastAsia"/>
          <w:sz w:val="21"/>
          <w:szCs w:val="21"/>
        </w:rPr>
        <w:t xml:space="preserve"> in general chapter</w:t>
      </w:r>
      <w:r w:rsidR="00E21178">
        <w:rPr>
          <w:rFonts w:ascii="Arial" w:hAnsi="Arial" w:cs="Arial" w:hint="eastAsia"/>
          <w:sz w:val="21"/>
          <w:szCs w:val="21"/>
        </w:rPr>
        <w:t>.</w:t>
      </w:r>
      <w:r w:rsidR="001A5FD5">
        <w:rPr>
          <w:rFonts w:ascii="Arial" w:hAnsi="Arial" w:cs="Arial" w:hint="eastAsia"/>
          <w:sz w:val="21"/>
          <w:szCs w:val="21"/>
        </w:rPr>
        <w:t xml:space="preserve"> For certain </w:t>
      </w:r>
      <w:r w:rsidR="001A5FD5">
        <w:rPr>
          <w:rFonts w:ascii="Arial" w:hAnsi="Arial" w:cs="Arial"/>
          <w:sz w:val="21"/>
          <w:szCs w:val="21"/>
        </w:rPr>
        <w:t>requirement</w:t>
      </w:r>
      <w:r w:rsidR="001A5FD5">
        <w:rPr>
          <w:rFonts w:ascii="Arial" w:hAnsi="Arial" w:cs="Arial" w:hint="eastAsia"/>
          <w:sz w:val="21"/>
          <w:szCs w:val="21"/>
        </w:rPr>
        <w:t xml:space="preserve"> different </w:t>
      </w:r>
      <w:r w:rsidR="001A5FD5">
        <w:rPr>
          <w:rFonts w:ascii="Arial" w:hAnsi="Arial" w:cs="Arial"/>
          <w:sz w:val="21"/>
          <w:szCs w:val="21"/>
        </w:rPr>
        <w:t>restriction</w:t>
      </w:r>
      <w:r w:rsidR="001A5FD5">
        <w:rPr>
          <w:rFonts w:ascii="Arial" w:hAnsi="Arial" w:cs="Arial" w:hint="eastAsia"/>
          <w:sz w:val="21"/>
          <w:szCs w:val="21"/>
        </w:rPr>
        <w:t xml:space="preserve"> can be applied for differe</w:t>
      </w:r>
      <w:r w:rsidR="00BD12D3">
        <w:rPr>
          <w:rFonts w:ascii="Arial" w:hAnsi="Arial" w:cs="Arial" w:hint="eastAsia"/>
          <w:sz w:val="21"/>
          <w:szCs w:val="21"/>
        </w:rPr>
        <w:t xml:space="preserve">nt </w:t>
      </w:r>
      <w:r w:rsidR="001A5FD5">
        <w:rPr>
          <w:rFonts w:ascii="Arial" w:hAnsi="Arial" w:cs="Arial" w:hint="eastAsia"/>
          <w:sz w:val="21"/>
          <w:szCs w:val="21"/>
        </w:rPr>
        <w:t>IAB category</w:t>
      </w:r>
      <w:r w:rsidR="00D33D9D">
        <w:rPr>
          <w:rFonts w:ascii="Arial" w:hAnsi="Arial" w:cs="Arial" w:hint="eastAsia"/>
          <w:sz w:val="21"/>
          <w:szCs w:val="21"/>
        </w:rPr>
        <w:t>. Since in Rel-16 it is not expect</w:t>
      </w:r>
      <w:r>
        <w:rPr>
          <w:rFonts w:ascii="Arial" w:hAnsi="Arial" w:cs="Arial" w:hint="eastAsia"/>
          <w:sz w:val="21"/>
          <w:szCs w:val="21"/>
        </w:rPr>
        <w:t>ed</w:t>
      </w:r>
      <w:r w:rsidR="00D33D9D">
        <w:rPr>
          <w:rFonts w:ascii="Arial" w:hAnsi="Arial" w:cs="Arial" w:hint="eastAsia"/>
          <w:sz w:val="21"/>
          <w:szCs w:val="21"/>
        </w:rPr>
        <w:t xml:space="preserve"> there would be IAB cate</w:t>
      </w:r>
      <w:r>
        <w:rPr>
          <w:rFonts w:ascii="Arial" w:hAnsi="Arial" w:cs="Arial" w:hint="eastAsia"/>
          <w:sz w:val="21"/>
          <w:szCs w:val="21"/>
        </w:rPr>
        <w:t xml:space="preserve">gory with different requirement </w:t>
      </w:r>
      <w:r w:rsidR="00D33D9D">
        <w:rPr>
          <w:rFonts w:ascii="Arial" w:hAnsi="Arial" w:cs="Arial" w:hint="eastAsia"/>
          <w:sz w:val="21"/>
          <w:szCs w:val="21"/>
        </w:rPr>
        <w:t>for</w:t>
      </w:r>
      <w:r w:rsidR="00E21178">
        <w:rPr>
          <w:rFonts w:ascii="Arial" w:hAnsi="Arial" w:cs="Arial" w:hint="eastAsia"/>
          <w:sz w:val="21"/>
          <w:szCs w:val="21"/>
        </w:rPr>
        <w:t xml:space="preserve"> </w:t>
      </w:r>
      <w:r w:rsidR="00E21178">
        <w:rPr>
          <w:rFonts w:ascii="Arial" w:hAnsi="Arial" w:cs="Arial"/>
          <w:sz w:val="21"/>
          <w:szCs w:val="21"/>
        </w:rPr>
        <w:t>corresponding</w:t>
      </w:r>
      <w:r w:rsidR="00E21178">
        <w:rPr>
          <w:rFonts w:ascii="Arial" w:hAnsi="Arial" w:cs="Arial" w:hint="eastAsia"/>
          <w:sz w:val="21"/>
          <w:szCs w:val="21"/>
        </w:rPr>
        <w:t xml:space="preserve"> </w:t>
      </w:r>
      <w:r w:rsidR="001A5FD5">
        <w:rPr>
          <w:rFonts w:ascii="Arial" w:hAnsi="Arial" w:cs="Arial"/>
          <w:sz w:val="21"/>
          <w:szCs w:val="21"/>
        </w:rPr>
        <w:t>Receiver</w:t>
      </w:r>
      <w:r w:rsidR="00D33D9D">
        <w:rPr>
          <w:rFonts w:ascii="Arial" w:hAnsi="Arial" w:cs="Arial" w:hint="eastAsia"/>
          <w:sz w:val="21"/>
          <w:szCs w:val="21"/>
        </w:rPr>
        <w:t xml:space="preserve"> characteristic, </w:t>
      </w:r>
      <w:r w:rsidR="00E21178">
        <w:rPr>
          <w:rFonts w:ascii="Arial" w:hAnsi="Arial" w:cs="Arial" w:hint="eastAsia"/>
          <w:sz w:val="21"/>
          <w:szCs w:val="21"/>
        </w:rPr>
        <w:t xml:space="preserve">demodulation </w:t>
      </w:r>
      <w:r w:rsidR="00E21178">
        <w:rPr>
          <w:rFonts w:ascii="Arial" w:hAnsi="Arial" w:cs="Arial"/>
          <w:sz w:val="21"/>
          <w:szCs w:val="21"/>
        </w:rPr>
        <w:t>requirement</w:t>
      </w:r>
      <w:r w:rsidR="00E21178">
        <w:rPr>
          <w:rFonts w:ascii="Arial" w:hAnsi="Arial" w:cs="Arial" w:hint="eastAsia"/>
          <w:sz w:val="21"/>
          <w:szCs w:val="21"/>
        </w:rPr>
        <w:t xml:space="preserve"> and FRC should be defined </w:t>
      </w:r>
      <w:r w:rsidR="00E21178">
        <w:rPr>
          <w:rFonts w:ascii="Arial" w:hAnsi="Arial" w:cs="Arial"/>
          <w:sz w:val="21"/>
          <w:szCs w:val="21"/>
        </w:rPr>
        <w:t>separately</w:t>
      </w:r>
      <w:r w:rsidR="00E21178">
        <w:rPr>
          <w:rFonts w:ascii="Arial" w:hAnsi="Arial" w:cs="Arial" w:hint="eastAsia"/>
          <w:sz w:val="21"/>
          <w:szCs w:val="21"/>
        </w:rPr>
        <w:t xml:space="preserve"> </w:t>
      </w:r>
      <w:r w:rsidR="00275322">
        <w:rPr>
          <w:rFonts w:ascii="Arial" w:hAnsi="Arial" w:cs="Arial" w:hint="eastAsia"/>
          <w:sz w:val="21"/>
          <w:szCs w:val="21"/>
        </w:rPr>
        <w:t xml:space="preserve">for MT or </w:t>
      </w:r>
      <w:proofErr w:type="gramStart"/>
      <w:r w:rsidR="00275322">
        <w:rPr>
          <w:rFonts w:ascii="Arial" w:hAnsi="Arial" w:cs="Arial" w:hint="eastAsia"/>
          <w:sz w:val="21"/>
          <w:szCs w:val="21"/>
        </w:rPr>
        <w:t>DU</w:t>
      </w:r>
      <w:r w:rsidR="00D33D9D">
        <w:rPr>
          <w:rFonts w:ascii="Arial" w:hAnsi="Arial" w:cs="Arial" w:hint="eastAsia"/>
          <w:sz w:val="21"/>
          <w:szCs w:val="21"/>
        </w:rPr>
        <w:t>(</w:t>
      </w:r>
      <w:proofErr w:type="gramEnd"/>
      <w:r w:rsidR="00275322">
        <w:rPr>
          <w:rFonts w:ascii="Arial" w:hAnsi="Arial" w:cs="Arial" w:hint="eastAsia"/>
          <w:sz w:val="21"/>
          <w:szCs w:val="21"/>
        </w:rPr>
        <w:t>downstream link or upstream link</w:t>
      </w:r>
      <w:r w:rsidR="00D33D9D">
        <w:rPr>
          <w:rFonts w:ascii="Arial" w:hAnsi="Arial" w:cs="Arial" w:hint="eastAsia"/>
          <w:sz w:val="21"/>
          <w:szCs w:val="21"/>
        </w:rPr>
        <w:t>)</w:t>
      </w:r>
      <w:r w:rsidR="00275322">
        <w:rPr>
          <w:rFonts w:ascii="Arial" w:hAnsi="Arial" w:cs="Arial" w:hint="eastAsia"/>
          <w:sz w:val="21"/>
          <w:szCs w:val="21"/>
        </w:rPr>
        <w:t xml:space="preserve">. </w:t>
      </w:r>
      <w:r w:rsidR="00D33D9D">
        <w:rPr>
          <w:rFonts w:ascii="Arial" w:hAnsi="Arial" w:cs="Arial" w:hint="eastAsia"/>
          <w:sz w:val="21"/>
          <w:szCs w:val="21"/>
        </w:rPr>
        <w:t xml:space="preserve">However, the applicability of RX could be included in general section as well for potential update in future release. </w:t>
      </w:r>
    </w:p>
    <w:p w:rsidR="00206708" w:rsidRDefault="00206708" w:rsidP="00206708"/>
    <w:p w:rsidR="00F02DC4" w:rsidRPr="00DF4456" w:rsidRDefault="00194A6F" w:rsidP="00DF4456">
      <w:pPr>
        <w:pStyle w:val="Heading1"/>
        <w:rPr>
          <w:rFonts w:cs="Arial"/>
          <w:lang w:eastAsia="zh-CN"/>
        </w:rPr>
      </w:pPr>
      <w:r>
        <w:rPr>
          <w:rFonts w:cs="Arial" w:hint="eastAsia"/>
          <w:lang w:eastAsia="zh-CN"/>
        </w:rPr>
        <w:t xml:space="preserve">Conclusion </w:t>
      </w:r>
    </w:p>
    <w:p w:rsidR="004D05BC" w:rsidRPr="004D05BC" w:rsidRDefault="004D05BC" w:rsidP="004D05BC">
      <w:pPr>
        <w:spacing w:afterLines="50" w:after="156"/>
        <w:jc w:val="both"/>
        <w:rPr>
          <w:rFonts w:ascii="Arial" w:hAnsi="Arial" w:cs="Arial"/>
          <w:sz w:val="21"/>
          <w:szCs w:val="21"/>
        </w:rPr>
      </w:pPr>
      <w:r w:rsidRPr="004D05BC">
        <w:rPr>
          <w:rFonts w:ascii="Arial" w:hAnsi="Arial" w:cs="Arial" w:hint="eastAsia"/>
          <w:sz w:val="21"/>
          <w:szCs w:val="21"/>
        </w:rPr>
        <w:t>In this contribution</w:t>
      </w:r>
      <w:r w:rsidR="00612D90">
        <w:rPr>
          <w:rFonts w:ascii="Arial" w:hAnsi="Arial" w:cs="Arial" w:hint="eastAsia"/>
          <w:sz w:val="21"/>
          <w:szCs w:val="21"/>
        </w:rPr>
        <w:t xml:space="preserve"> two alternatives are provided </w:t>
      </w:r>
      <w:r w:rsidRPr="004D05BC">
        <w:rPr>
          <w:rFonts w:ascii="Arial" w:hAnsi="Arial" w:cs="Arial" w:hint="eastAsia"/>
          <w:sz w:val="21"/>
          <w:szCs w:val="21"/>
        </w:rPr>
        <w:t xml:space="preserve">on </w:t>
      </w:r>
      <w:r w:rsidRPr="004D05BC">
        <w:rPr>
          <w:rFonts w:ascii="Arial" w:hAnsi="Arial" w:cs="Arial"/>
          <w:sz w:val="21"/>
          <w:szCs w:val="21"/>
        </w:rPr>
        <w:t>terminology</w:t>
      </w:r>
      <w:r w:rsidRPr="004D05BC">
        <w:rPr>
          <w:rFonts w:ascii="Arial" w:hAnsi="Arial" w:cs="Arial" w:hint="eastAsia"/>
          <w:sz w:val="21"/>
          <w:szCs w:val="21"/>
        </w:rPr>
        <w:t xml:space="preserve"> to be used for RAN4 IAB RF TS skeleton. </w:t>
      </w:r>
    </w:p>
    <w:p w:rsidR="00612D90" w:rsidRPr="00600080" w:rsidRDefault="00612D90" w:rsidP="00612D90">
      <w:pPr>
        <w:rPr>
          <w:rFonts w:ascii="Arial" w:hAnsi="Arial" w:cs="Arial"/>
          <w:sz w:val="21"/>
          <w:szCs w:val="21"/>
        </w:rPr>
      </w:pPr>
      <w:r w:rsidRPr="004C150D">
        <w:rPr>
          <w:rFonts w:ascii="Arial" w:hAnsi="Arial" w:cs="Arial" w:hint="eastAsia"/>
          <w:b/>
          <w:sz w:val="21"/>
          <w:szCs w:val="21"/>
        </w:rPr>
        <w:t>Alternative 1</w:t>
      </w:r>
      <w:r w:rsidRPr="00600080">
        <w:rPr>
          <w:rFonts w:ascii="Arial" w:hAnsi="Arial" w:cs="Arial" w:hint="eastAsia"/>
          <w:sz w:val="21"/>
          <w:szCs w:val="21"/>
        </w:rPr>
        <w:t>: IAB-MT and IAB-DU</w:t>
      </w:r>
      <w:r>
        <w:rPr>
          <w:rFonts w:ascii="Arial" w:hAnsi="Arial" w:cs="Arial" w:hint="eastAsia"/>
          <w:sz w:val="21"/>
          <w:szCs w:val="21"/>
        </w:rPr>
        <w:t xml:space="preserve"> with definition below can</w:t>
      </w:r>
      <w:r w:rsidRPr="00600080">
        <w:rPr>
          <w:rFonts w:ascii="Arial" w:hAnsi="Arial" w:cs="Arial" w:hint="eastAsia"/>
          <w:sz w:val="21"/>
          <w:szCs w:val="21"/>
        </w:rPr>
        <w:t xml:space="preserve"> be used in IAB RAN4 RF performance TS. </w:t>
      </w:r>
    </w:p>
    <w:p w:rsidR="00612D90" w:rsidRPr="00600080" w:rsidRDefault="00612D90" w:rsidP="00612D90">
      <w:pPr>
        <w:ind w:leftChars="100" w:left="240"/>
        <w:rPr>
          <w:rFonts w:ascii="Arial" w:hAnsi="Arial" w:cs="Arial"/>
          <w:sz w:val="21"/>
          <w:szCs w:val="21"/>
        </w:rPr>
      </w:pPr>
      <w:r w:rsidRPr="00600080">
        <w:rPr>
          <w:rFonts w:ascii="Arial" w:hAnsi="Arial" w:cs="Arial" w:hint="eastAsia"/>
          <w:sz w:val="21"/>
          <w:szCs w:val="21"/>
        </w:rPr>
        <w:t xml:space="preserve">IAB-MT: the [subset] </w:t>
      </w:r>
      <w:r w:rsidRPr="00600080">
        <w:rPr>
          <w:rFonts w:ascii="Arial" w:hAnsi="Arial" w:cs="Arial"/>
          <w:sz w:val="21"/>
          <w:szCs w:val="21"/>
        </w:rPr>
        <w:t>function</w:t>
      </w:r>
      <w:r w:rsidRPr="00600080">
        <w:rPr>
          <w:rFonts w:ascii="Arial" w:hAnsi="Arial" w:cs="Arial" w:hint="eastAsia"/>
          <w:sz w:val="21"/>
          <w:szCs w:val="21"/>
        </w:rPr>
        <w:t xml:space="preserve"> as UE in IAB node to communicate with its parent node.</w:t>
      </w:r>
    </w:p>
    <w:p w:rsidR="00612D90" w:rsidRPr="00600080" w:rsidRDefault="00612D90" w:rsidP="00612D90">
      <w:pPr>
        <w:ind w:leftChars="100" w:left="240"/>
        <w:rPr>
          <w:rFonts w:ascii="Arial" w:hAnsi="Arial" w:cs="Arial"/>
          <w:sz w:val="21"/>
          <w:szCs w:val="21"/>
        </w:rPr>
      </w:pPr>
      <w:r w:rsidRPr="00600080">
        <w:rPr>
          <w:rFonts w:ascii="Arial" w:hAnsi="Arial" w:cs="Arial" w:hint="eastAsia"/>
          <w:sz w:val="21"/>
          <w:szCs w:val="21"/>
        </w:rPr>
        <w:t xml:space="preserve">IAB-DU: the partial functions as </w:t>
      </w:r>
      <w:proofErr w:type="spellStart"/>
      <w:r w:rsidRPr="00600080">
        <w:rPr>
          <w:rFonts w:ascii="Arial" w:hAnsi="Arial" w:cs="Arial" w:hint="eastAsia"/>
          <w:sz w:val="21"/>
          <w:szCs w:val="21"/>
        </w:rPr>
        <w:t>gNB</w:t>
      </w:r>
      <w:proofErr w:type="spellEnd"/>
      <w:r w:rsidRPr="00600080">
        <w:rPr>
          <w:rFonts w:ascii="Arial" w:hAnsi="Arial" w:cs="Arial" w:hint="eastAsia"/>
          <w:sz w:val="21"/>
          <w:szCs w:val="21"/>
        </w:rPr>
        <w:t xml:space="preserve"> in IAB node to communicate with UE or child node</w:t>
      </w:r>
    </w:p>
    <w:p w:rsidR="00612D90" w:rsidRPr="00600080" w:rsidRDefault="00612D90" w:rsidP="00612D90">
      <w:pPr>
        <w:rPr>
          <w:rFonts w:ascii="Arial" w:hAnsi="Arial" w:cs="Arial"/>
          <w:sz w:val="21"/>
          <w:szCs w:val="21"/>
        </w:rPr>
      </w:pPr>
      <w:r w:rsidRPr="004C150D">
        <w:rPr>
          <w:rFonts w:ascii="Arial" w:hAnsi="Arial" w:cs="Arial" w:hint="eastAsia"/>
          <w:b/>
          <w:sz w:val="21"/>
          <w:szCs w:val="21"/>
        </w:rPr>
        <w:t xml:space="preserve">Alternative </w:t>
      </w:r>
      <w:r>
        <w:rPr>
          <w:rFonts w:ascii="Arial" w:hAnsi="Arial" w:cs="Arial" w:hint="eastAsia"/>
          <w:b/>
          <w:sz w:val="21"/>
          <w:szCs w:val="21"/>
        </w:rPr>
        <w:t>2</w:t>
      </w:r>
      <w:r w:rsidRPr="00600080">
        <w:rPr>
          <w:rFonts w:ascii="Arial" w:hAnsi="Arial" w:cs="Arial" w:hint="eastAsia"/>
          <w:sz w:val="21"/>
          <w:szCs w:val="21"/>
        </w:rPr>
        <w:t xml:space="preserve">: </w:t>
      </w:r>
      <w:r>
        <w:rPr>
          <w:rFonts w:ascii="Arial" w:hAnsi="Arial" w:cs="Arial" w:hint="eastAsia"/>
          <w:sz w:val="21"/>
          <w:szCs w:val="21"/>
        </w:rPr>
        <w:t>downstream link and upstream link with definition below can</w:t>
      </w:r>
      <w:r w:rsidRPr="00600080">
        <w:rPr>
          <w:rFonts w:ascii="Arial" w:hAnsi="Arial" w:cs="Arial" w:hint="eastAsia"/>
          <w:sz w:val="21"/>
          <w:szCs w:val="21"/>
        </w:rPr>
        <w:t xml:space="preserve"> be used in IAB RAN4 RF performance TS. </w:t>
      </w:r>
    </w:p>
    <w:p w:rsidR="00612D90" w:rsidRPr="00600080" w:rsidRDefault="00612D90" w:rsidP="00612D90">
      <w:pPr>
        <w:ind w:leftChars="100" w:left="240"/>
        <w:rPr>
          <w:rFonts w:ascii="Arial" w:hAnsi="Arial" w:cs="Arial"/>
          <w:sz w:val="21"/>
          <w:szCs w:val="21"/>
        </w:rPr>
      </w:pPr>
      <w:r>
        <w:rPr>
          <w:rFonts w:ascii="Arial" w:hAnsi="Arial" w:cs="Arial"/>
          <w:sz w:val="21"/>
          <w:szCs w:val="21"/>
        </w:rPr>
        <w:t>D</w:t>
      </w:r>
      <w:r>
        <w:rPr>
          <w:rFonts w:ascii="Arial" w:hAnsi="Arial" w:cs="Arial" w:hint="eastAsia"/>
          <w:sz w:val="21"/>
          <w:szCs w:val="21"/>
        </w:rPr>
        <w:t>ownstream link</w:t>
      </w:r>
      <w:r w:rsidRPr="00600080">
        <w:rPr>
          <w:rFonts w:ascii="Arial" w:hAnsi="Arial" w:cs="Arial" w:hint="eastAsia"/>
          <w:sz w:val="21"/>
          <w:szCs w:val="21"/>
        </w:rPr>
        <w:t>:</w:t>
      </w:r>
      <w:r>
        <w:rPr>
          <w:rFonts w:ascii="Arial" w:hAnsi="Arial" w:cs="Arial" w:hint="eastAsia"/>
          <w:sz w:val="21"/>
          <w:szCs w:val="21"/>
        </w:rPr>
        <w:t xml:space="preserve"> link between IAB node and child IAB and/or UE with TX on DL </w:t>
      </w:r>
      <w:r>
        <w:rPr>
          <w:rFonts w:ascii="Arial" w:hAnsi="Arial" w:cs="Arial"/>
          <w:sz w:val="21"/>
          <w:szCs w:val="21"/>
        </w:rPr>
        <w:t>physical</w:t>
      </w:r>
      <w:r>
        <w:rPr>
          <w:rFonts w:ascii="Arial" w:hAnsi="Arial" w:cs="Arial" w:hint="eastAsia"/>
          <w:sz w:val="21"/>
          <w:szCs w:val="21"/>
        </w:rPr>
        <w:t xml:space="preserve"> channel and RX on UL physical channel</w:t>
      </w:r>
    </w:p>
    <w:p w:rsidR="00612D90" w:rsidRPr="00600080" w:rsidRDefault="00612D90" w:rsidP="00612D90">
      <w:pPr>
        <w:ind w:leftChars="100" w:left="240"/>
        <w:rPr>
          <w:rFonts w:ascii="Arial" w:hAnsi="Arial" w:cs="Arial"/>
          <w:sz w:val="21"/>
          <w:szCs w:val="21"/>
        </w:rPr>
      </w:pPr>
      <w:r>
        <w:rPr>
          <w:rFonts w:ascii="Arial" w:hAnsi="Arial" w:cs="Arial" w:hint="eastAsia"/>
          <w:sz w:val="21"/>
          <w:szCs w:val="21"/>
        </w:rPr>
        <w:t>Upstream link</w:t>
      </w:r>
      <w:r w:rsidRPr="00600080">
        <w:rPr>
          <w:rFonts w:ascii="Arial" w:hAnsi="Arial" w:cs="Arial" w:hint="eastAsia"/>
          <w:sz w:val="21"/>
          <w:szCs w:val="21"/>
        </w:rPr>
        <w:t xml:space="preserve">: </w:t>
      </w:r>
      <w:r>
        <w:rPr>
          <w:rFonts w:ascii="Arial" w:hAnsi="Arial" w:cs="Arial" w:hint="eastAsia"/>
          <w:sz w:val="21"/>
          <w:szCs w:val="21"/>
        </w:rPr>
        <w:t>link between IAB node and parent node with TX on UL physical channel and RX on DL physical channel.</w:t>
      </w:r>
    </w:p>
    <w:p w:rsidR="004D05BC" w:rsidRDefault="004D05BC" w:rsidP="004D05BC">
      <w:pPr>
        <w:spacing w:afterLines="50" w:after="156"/>
        <w:jc w:val="both"/>
        <w:rPr>
          <w:rFonts w:ascii="Arial" w:hAnsi="Arial" w:cs="Arial"/>
          <w:sz w:val="21"/>
          <w:szCs w:val="21"/>
        </w:rPr>
      </w:pPr>
    </w:p>
    <w:p w:rsidR="00612D90" w:rsidRPr="00612D90" w:rsidRDefault="00612D90" w:rsidP="004D05BC">
      <w:pPr>
        <w:spacing w:afterLines="50" w:after="156"/>
        <w:jc w:val="both"/>
        <w:rPr>
          <w:rFonts w:ascii="Arial" w:hAnsi="Arial" w:cs="Arial"/>
          <w:sz w:val="21"/>
          <w:szCs w:val="21"/>
        </w:rPr>
      </w:pPr>
      <w:r>
        <w:rPr>
          <w:rFonts w:ascii="Arial" w:hAnsi="Arial" w:cs="Arial" w:hint="eastAsia"/>
          <w:sz w:val="21"/>
          <w:szCs w:val="21"/>
        </w:rPr>
        <w:t xml:space="preserve">It is suggested to consider these alternatives for further discussion on TS skeleton. </w:t>
      </w:r>
    </w:p>
    <w:p w:rsidR="004914E1" w:rsidRPr="00E63F56" w:rsidRDefault="000316D6" w:rsidP="00E63F56">
      <w:pPr>
        <w:pStyle w:val="Heading1"/>
        <w:rPr>
          <w:rFonts w:cs="Arial"/>
          <w:lang w:eastAsia="zh-CN"/>
        </w:rPr>
      </w:pPr>
      <w:r>
        <w:rPr>
          <w:rFonts w:cs="Arial" w:hint="eastAsia"/>
          <w:lang w:eastAsia="zh-CN"/>
        </w:rPr>
        <w:t>Reference</w:t>
      </w:r>
    </w:p>
    <w:p w:rsidR="00A544BA" w:rsidRDefault="000F6C2D" w:rsidP="000F6C2D">
      <w:pPr>
        <w:pStyle w:val="ZT"/>
        <w:framePr w:wrap="auto" w:hAnchor="text" w:yAlign="inline"/>
        <w:ind w:right="420"/>
        <w:jc w:val="both"/>
        <w:rPr>
          <w:rFonts w:asciiTheme="minorHAnsi" w:hAnsiTheme="minorHAnsi" w:cstheme="minorBidi" w:hint="eastAsia"/>
          <w:b w:val="0"/>
          <w:kern w:val="2"/>
          <w:sz w:val="21"/>
          <w:szCs w:val="22"/>
          <w:lang w:val="en-US" w:eastAsia="zh-CN"/>
        </w:rPr>
      </w:pPr>
      <w:r w:rsidRPr="00A40307">
        <w:rPr>
          <w:rFonts w:asciiTheme="minorHAnsi" w:hAnsiTheme="minorHAnsi" w:cstheme="minorBidi" w:hint="eastAsia"/>
          <w:b w:val="0"/>
          <w:kern w:val="2"/>
          <w:sz w:val="21"/>
          <w:szCs w:val="22"/>
          <w:lang w:val="en-US" w:eastAsia="zh-CN"/>
        </w:rPr>
        <w:t xml:space="preserve">[1] </w:t>
      </w:r>
      <w:r w:rsidR="00FA1D8C" w:rsidRPr="00FA1D8C">
        <w:rPr>
          <w:rFonts w:asciiTheme="minorHAnsi" w:hAnsiTheme="minorHAnsi" w:cstheme="minorBidi"/>
          <w:b w:val="0"/>
          <w:kern w:val="2"/>
          <w:sz w:val="21"/>
          <w:szCs w:val="22"/>
          <w:lang w:val="en-US" w:eastAsia="zh-CN"/>
        </w:rPr>
        <w:t>R4-1</w:t>
      </w:r>
      <w:r w:rsidR="00FA1D8C" w:rsidRPr="00FA1D8C">
        <w:rPr>
          <w:rFonts w:asciiTheme="minorHAnsi" w:hAnsiTheme="minorHAnsi" w:cstheme="minorBidi" w:hint="eastAsia"/>
          <w:b w:val="0"/>
          <w:kern w:val="2"/>
          <w:sz w:val="21"/>
          <w:szCs w:val="22"/>
          <w:lang w:val="en-US" w:eastAsia="zh-CN"/>
        </w:rPr>
        <w:t>905451</w:t>
      </w:r>
      <w:r w:rsidR="007F7E70">
        <w:rPr>
          <w:rFonts w:asciiTheme="minorHAnsi" w:hAnsiTheme="minorHAnsi" w:cstheme="minorBidi" w:hint="eastAsia"/>
          <w:b w:val="0"/>
          <w:kern w:val="2"/>
          <w:sz w:val="21"/>
          <w:szCs w:val="22"/>
          <w:lang w:val="en-US" w:eastAsia="zh-CN"/>
        </w:rPr>
        <w:t xml:space="preserve">, </w:t>
      </w:r>
      <w:r w:rsidR="00FA1D8C" w:rsidRPr="00FA1D8C">
        <w:rPr>
          <w:rFonts w:asciiTheme="minorHAnsi" w:hAnsiTheme="minorHAnsi" w:cstheme="minorBidi" w:hint="eastAsia"/>
          <w:b w:val="0"/>
          <w:kern w:val="2"/>
          <w:sz w:val="21"/>
          <w:szCs w:val="22"/>
          <w:lang w:val="en-US" w:eastAsia="zh-CN"/>
        </w:rPr>
        <w:t>Discussion on TS skeleton and terminology</w:t>
      </w:r>
    </w:p>
    <w:p w:rsidR="00FE2715" w:rsidRPr="00E63F56" w:rsidRDefault="00FE2715" w:rsidP="000F6C2D">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R4-1908104, </w:t>
      </w:r>
      <w:r w:rsidRPr="00FE2715">
        <w:rPr>
          <w:rFonts w:asciiTheme="minorHAnsi" w:hAnsiTheme="minorHAnsi" w:cstheme="minorBidi" w:hint="eastAsia"/>
          <w:b w:val="0"/>
          <w:kern w:val="2"/>
          <w:sz w:val="21"/>
          <w:szCs w:val="22"/>
          <w:lang w:val="en-US" w:eastAsia="zh-CN"/>
        </w:rPr>
        <w:t>Consideration on IAB RF requirements</w:t>
      </w:r>
    </w:p>
    <w:sectPr w:rsidR="00FE2715" w:rsidRPr="00E63F56" w:rsidSect="005F6EC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0E8" w:rsidRDefault="004930E8" w:rsidP="00FF76F4">
      <w:r>
        <w:separator/>
      </w:r>
    </w:p>
  </w:endnote>
  <w:endnote w:type="continuationSeparator" w:id="0">
    <w:p w:rsidR="004930E8" w:rsidRDefault="004930E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0E8" w:rsidRDefault="004930E8" w:rsidP="00FF76F4">
      <w:r>
        <w:separator/>
      </w:r>
    </w:p>
  </w:footnote>
  <w:footnote w:type="continuationSeparator" w:id="0">
    <w:p w:rsidR="004930E8" w:rsidRDefault="004930E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4802C6"/>
    <w:multiLevelType w:val="hybridMultilevel"/>
    <w:tmpl w:val="4A10BD64"/>
    <w:lvl w:ilvl="0" w:tplc="FE92C2B2">
      <w:start w:val="1"/>
      <w:numFmt w:val="bullet"/>
      <w:lvlText w:val="•"/>
      <w:lvlJc w:val="left"/>
      <w:pPr>
        <w:tabs>
          <w:tab w:val="num" w:pos="720"/>
        </w:tabs>
        <w:ind w:left="720" w:hanging="360"/>
      </w:pPr>
      <w:rPr>
        <w:rFonts w:ascii="Arial" w:hAnsi="Arial" w:hint="default"/>
      </w:rPr>
    </w:lvl>
    <w:lvl w:ilvl="1" w:tplc="D7DCBEC0">
      <w:numFmt w:val="bullet"/>
      <w:lvlText w:val="-"/>
      <w:lvlJc w:val="left"/>
      <w:pPr>
        <w:tabs>
          <w:tab w:val="num" w:pos="1440"/>
        </w:tabs>
        <w:ind w:left="1440" w:hanging="360"/>
      </w:pPr>
      <w:rPr>
        <w:rFonts w:ascii="Times New Roman" w:eastAsia="Times New Roman" w:hAnsi="Times New Roman" w:cs="Times New Roman" w:hint="default"/>
      </w:rPr>
    </w:lvl>
    <w:lvl w:ilvl="2" w:tplc="73BE9D9A">
      <w:start w:val="1"/>
      <w:numFmt w:val="bullet"/>
      <w:lvlText w:val="•"/>
      <w:lvlJc w:val="left"/>
      <w:pPr>
        <w:tabs>
          <w:tab w:val="num" w:pos="2160"/>
        </w:tabs>
        <w:ind w:left="2160" w:hanging="360"/>
      </w:pPr>
      <w:rPr>
        <w:rFonts w:ascii="Arial" w:hAnsi="Arial" w:hint="default"/>
      </w:rPr>
    </w:lvl>
    <w:lvl w:ilvl="3" w:tplc="CE6C7C62">
      <w:numFmt w:val="bullet"/>
      <w:lvlText w:val="–"/>
      <w:lvlJc w:val="left"/>
      <w:pPr>
        <w:tabs>
          <w:tab w:val="num" w:pos="2880"/>
        </w:tabs>
        <w:ind w:left="2880" w:hanging="360"/>
      </w:pPr>
      <w:rPr>
        <w:rFonts w:ascii="Arial" w:hAnsi="Arial" w:hint="default"/>
      </w:rPr>
    </w:lvl>
    <w:lvl w:ilvl="4" w:tplc="59C42E30" w:tentative="1">
      <w:start w:val="1"/>
      <w:numFmt w:val="bullet"/>
      <w:lvlText w:val="•"/>
      <w:lvlJc w:val="left"/>
      <w:pPr>
        <w:tabs>
          <w:tab w:val="num" w:pos="3600"/>
        </w:tabs>
        <w:ind w:left="3600" w:hanging="360"/>
      </w:pPr>
      <w:rPr>
        <w:rFonts w:ascii="Arial" w:hAnsi="Arial" w:hint="default"/>
      </w:rPr>
    </w:lvl>
    <w:lvl w:ilvl="5" w:tplc="537A037C" w:tentative="1">
      <w:start w:val="1"/>
      <w:numFmt w:val="bullet"/>
      <w:lvlText w:val="•"/>
      <w:lvlJc w:val="left"/>
      <w:pPr>
        <w:tabs>
          <w:tab w:val="num" w:pos="4320"/>
        </w:tabs>
        <w:ind w:left="4320" w:hanging="360"/>
      </w:pPr>
      <w:rPr>
        <w:rFonts w:ascii="Arial" w:hAnsi="Arial" w:hint="default"/>
      </w:rPr>
    </w:lvl>
    <w:lvl w:ilvl="6" w:tplc="235E4938" w:tentative="1">
      <w:start w:val="1"/>
      <w:numFmt w:val="bullet"/>
      <w:lvlText w:val="•"/>
      <w:lvlJc w:val="left"/>
      <w:pPr>
        <w:tabs>
          <w:tab w:val="num" w:pos="5040"/>
        </w:tabs>
        <w:ind w:left="5040" w:hanging="360"/>
      </w:pPr>
      <w:rPr>
        <w:rFonts w:ascii="Arial" w:hAnsi="Arial" w:hint="default"/>
      </w:rPr>
    </w:lvl>
    <w:lvl w:ilvl="7" w:tplc="5D32BA98" w:tentative="1">
      <w:start w:val="1"/>
      <w:numFmt w:val="bullet"/>
      <w:lvlText w:val="•"/>
      <w:lvlJc w:val="left"/>
      <w:pPr>
        <w:tabs>
          <w:tab w:val="num" w:pos="5760"/>
        </w:tabs>
        <w:ind w:left="5760" w:hanging="360"/>
      </w:pPr>
      <w:rPr>
        <w:rFonts w:ascii="Arial" w:hAnsi="Arial" w:hint="default"/>
      </w:rPr>
    </w:lvl>
    <w:lvl w:ilvl="8" w:tplc="12FA80CA" w:tentative="1">
      <w:start w:val="1"/>
      <w:numFmt w:val="bullet"/>
      <w:lvlText w:val="•"/>
      <w:lvlJc w:val="left"/>
      <w:pPr>
        <w:tabs>
          <w:tab w:val="num" w:pos="6480"/>
        </w:tabs>
        <w:ind w:left="6480" w:hanging="360"/>
      </w:pPr>
      <w:rPr>
        <w:rFonts w:ascii="Arial" w:hAnsi="Arial" w:hint="default"/>
      </w:rPr>
    </w:lvl>
  </w:abstractNum>
  <w:abstractNum w:abstractNumId="2">
    <w:nsid w:val="0BE17A85"/>
    <w:multiLevelType w:val="hybridMultilevel"/>
    <w:tmpl w:val="2FDC6B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6">
    <w:nsid w:val="10390BDE"/>
    <w:multiLevelType w:val="hybridMultilevel"/>
    <w:tmpl w:val="041AD3BA"/>
    <w:lvl w:ilvl="0" w:tplc="92C2CAE8">
      <w:numFmt w:val="bullet"/>
      <w:lvlText w:val="-"/>
      <w:lvlJc w:val="left"/>
      <w:pPr>
        <w:ind w:left="660" w:hanging="420"/>
      </w:pPr>
      <w:rPr>
        <w:rFonts w:ascii="Arial" w:eastAsia="MS Mincho" w:hAnsi="Arial" w:cs="Arial" w:hint="default"/>
        <w:b/>
        <w:i w:val="0"/>
        <w:color w:val="auto"/>
        <w:sz w:val="22"/>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E73035"/>
    <w:multiLevelType w:val="hybridMultilevel"/>
    <w:tmpl w:val="51B28F24"/>
    <w:lvl w:ilvl="0" w:tplc="28BE5042">
      <w:start w:val="10"/>
      <w:numFmt w:val="bullet"/>
      <w:lvlText w:val="-"/>
      <w:lvlJc w:val="left"/>
      <w:pPr>
        <w:ind w:left="660" w:hanging="420"/>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EF218EF"/>
    <w:multiLevelType w:val="hybridMultilevel"/>
    <w:tmpl w:val="65445F50"/>
    <w:lvl w:ilvl="0" w:tplc="FE92C2B2">
      <w:start w:val="1"/>
      <w:numFmt w:val="bullet"/>
      <w:lvlText w:val="•"/>
      <w:lvlJc w:val="left"/>
      <w:pPr>
        <w:tabs>
          <w:tab w:val="num" w:pos="720"/>
        </w:tabs>
        <w:ind w:left="720" w:hanging="360"/>
      </w:pPr>
      <w:rPr>
        <w:rFonts w:ascii="Arial" w:hAnsi="Arial" w:hint="default"/>
      </w:rPr>
    </w:lvl>
    <w:lvl w:ilvl="1" w:tplc="C0C603E2">
      <w:start w:val="1"/>
      <w:numFmt w:val="bullet"/>
      <w:lvlText w:val="•"/>
      <w:lvlJc w:val="left"/>
      <w:pPr>
        <w:tabs>
          <w:tab w:val="num" w:pos="1440"/>
        </w:tabs>
        <w:ind w:left="1440" w:hanging="360"/>
      </w:pPr>
      <w:rPr>
        <w:rFonts w:ascii="Arial" w:hAnsi="Arial" w:hint="default"/>
      </w:rPr>
    </w:lvl>
    <w:lvl w:ilvl="2" w:tplc="73BE9D9A">
      <w:start w:val="1"/>
      <w:numFmt w:val="bullet"/>
      <w:lvlText w:val="•"/>
      <w:lvlJc w:val="left"/>
      <w:pPr>
        <w:tabs>
          <w:tab w:val="num" w:pos="2160"/>
        </w:tabs>
        <w:ind w:left="2160" w:hanging="360"/>
      </w:pPr>
      <w:rPr>
        <w:rFonts w:ascii="Arial" w:hAnsi="Arial" w:hint="default"/>
      </w:rPr>
    </w:lvl>
    <w:lvl w:ilvl="3" w:tplc="CE6C7C62">
      <w:numFmt w:val="bullet"/>
      <w:lvlText w:val="–"/>
      <w:lvlJc w:val="left"/>
      <w:pPr>
        <w:tabs>
          <w:tab w:val="num" w:pos="2880"/>
        </w:tabs>
        <w:ind w:left="2880" w:hanging="360"/>
      </w:pPr>
      <w:rPr>
        <w:rFonts w:ascii="Arial" w:hAnsi="Arial" w:hint="default"/>
      </w:rPr>
    </w:lvl>
    <w:lvl w:ilvl="4" w:tplc="59C42E30" w:tentative="1">
      <w:start w:val="1"/>
      <w:numFmt w:val="bullet"/>
      <w:lvlText w:val="•"/>
      <w:lvlJc w:val="left"/>
      <w:pPr>
        <w:tabs>
          <w:tab w:val="num" w:pos="3600"/>
        </w:tabs>
        <w:ind w:left="3600" w:hanging="360"/>
      </w:pPr>
      <w:rPr>
        <w:rFonts w:ascii="Arial" w:hAnsi="Arial" w:hint="default"/>
      </w:rPr>
    </w:lvl>
    <w:lvl w:ilvl="5" w:tplc="537A037C" w:tentative="1">
      <w:start w:val="1"/>
      <w:numFmt w:val="bullet"/>
      <w:lvlText w:val="•"/>
      <w:lvlJc w:val="left"/>
      <w:pPr>
        <w:tabs>
          <w:tab w:val="num" w:pos="4320"/>
        </w:tabs>
        <w:ind w:left="4320" w:hanging="360"/>
      </w:pPr>
      <w:rPr>
        <w:rFonts w:ascii="Arial" w:hAnsi="Arial" w:hint="default"/>
      </w:rPr>
    </w:lvl>
    <w:lvl w:ilvl="6" w:tplc="235E4938" w:tentative="1">
      <w:start w:val="1"/>
      <w:numFmt w:val="bullet"/>
      <w:lvlText w:val="•"/>
      <w:lvlJc w:val="left"/>
      <w:pPr>
        <w:tabs>
          <w:tab w:val="num" w:pos="5040"/>
        </w:tabs>
        <w:ind w:left="5040" w:hanging="360"/>
      </w:pPr>
      <w:rPr>
        <w:rFonts w:ascii="Arial" w:hAnsi="Arial" w:hint="default"/>
      </w:rPr>
    </w:lvl>
    <w:lvl w:ilvl="7" w:tplc="5D32BA98" w:tentative="1">
      <w:start w:val="1"/>
      <w:numFmt w:val="bullet"/>
      <w:lvlText w:val="•"/>
      <w:lvlJc w:val="left"/>
      <w:pPr>
        <w:tabs>
          <w:tab w:val="num" w:pos="5760"/>
        </w:tabs>
        <w:ind w:left="5760" w:hanging="360"/>
      </w:pPr>
      <w:rPr>
        <w:rFonts w:ascii="Arial" w:hAnsi="Arial" w:hint="default"/>
      </w:rPr>
    </w:lvl>
    <w:lvl w:ilvl="8" w:tplc="12FA80CA" w:tentative="1">
      <w:start w:val="1"/>
      <w:numFmt w:val="bullet"/>
      <w:lvlText w:val="•"/>
      <w:lvlJc w:val="left"/>
      <w:pPr>
        <w:tabs>
          <w:tab w:val="num" w:pos="6480"/>
        </w:tabs>
        <w:ind w:left="6480" w:hanging="360"/>
      </w:pPr>
      <w:rPr>
        <w:rFonts w:ascii="Arial" w:hAnsi="Arial" w:hint="default"/>
      </w:rPr>
    </w:lvl>
  </w:abstractNum>
  <w:abstractNum w:abstractNumId="19">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5"/>
  </w:num>
  <w:num w:numId="2">
    <w:abstractNumId w:val="17"/>
  </w:num>
  <w:num w:numId="3">
    <w:abstractNumId w:val="8"/>
  </w:num>
  <w:num w:numId="4">
    <w:abstractNumId w:val="13"/>
  </w:num>
  <w:num w:numId="5">
    <w:abstractNumId w:val="22"/>
  </w:num>
  <w:num w:numId="6">
    <w:abstractNumId w:val="1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3"/>
  </w:num>
  <w:num w:numId="10">
    <w:abstractNumId w:val="26"/>
  </w:num>
  <w:num w:numId="11">
    <w:abstractNumId w:val="14"/>
  </w:num>
  <w:num w:numId="12">
    <w:abstractNumId w:val="15"/>
  </w:num>
  <w:num w:numId="13">
    <w:abstractNumId w:val="7"/>
  </w:num>
  <w:num w:numId="14">
    <w:abstractNumId w:val="9"/>
  </w:num>
  <w:num w:numId="15">
    <w:abstractNumId w:val="4"/>
  </w:num>
  <w:num w:numId="16">
    <w:abstractNumId w:val="21"/>
  </w:num>
  <w:num w:numId="17">
    <w:abstractNumId w:val="23"/>
  </w:num>
  <w:num w:numId="18">
    <w:abstractNumId w:val="20"/>
  </w:num>
  <w:num w:numId="19">
    <w:abstractNumId w:val="12"/>
  </w:num>
  <w:num w:numId="20">
    <w:abstractNumId w:val="16"/>
  </w:num>
  <w:num w:numId="21">
    <w:abstractNumId w:val="5"/>
  </w:num>
  <w:num w:numId="22">
    <w:abstractNumId w:val="19"/>
  </w:num>
  <w:num w:numId="23">
    <w:abstractNumId w:val="2"/>
  </w:num>
  <w:num w:numId="24">
    <w:abstractNumId w:val="18"/>
  </w:num>
  <w:num w:numId="25">
    <w:abstractNumId w:val="1"/>
  </w:num>
  <w:num w:numId="26">
    <w:abstractNumId w:val="10"/>
  </w:num>
  <w:num w:numId="2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363AC"/>
    <w:rsid w:val="00044194"/>
    <w:rsid w:val="00044287"/>
    <w:rsid w:val="00044671"/>
    <w:rsid w:val="000447E0"/>
    <w:rsid w:val="00045F80"/>
    <w:rsid w:val="000542D7"/>
    <w:rsid w:val="0005598F"/>
    <w:rsid w:val="000577D6"/>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D1A"/>
    <w:rsid w:val="000B1FF8"/>
    <w:rsid w:val="000B2BC0"/>
    <w:rsid w:val="000B71F1"/>
    <w:rsid w:val="000C243C"/>
    <w:rsid w:val="000C5302"/>
    <w:rsid w:val="000C54C6"/>
    <w:rsid w:val="000D3C64"/>
    <w:rsid w:val="000E160E"/>
    <w:rsid w:val="000E1D32"/>
    <w:rsid w:val="000E254F"/>
    <w:rsid w:val="000E269A"/>
    <w:rsid w:val="000E34BE"/>
    <w:rsid w:val="000E3ED7"/>
    <w:rsid w:val="000E5E68"/>
    <w:rsid w:val="000E6A3A"/>
    <w:rsid w:val="000F0286"/>
    <w:rsid w:val="000F0FA3"/>
    <w:rsid w:val="000F4EB5"/>
    <w:rsid w:val="000F5165"/>
    <w:rsid w:val="000F53E9"/>
    <w:rsid w:val="000F6B51"/>
    <w:rsid w:val="000F6C2D"/>
    <w:rsid w:val="00100301"/>
    <w:rsid w:val="00102A9E"/>
    <w:rsid w:val="001074A1"/>
    <w:rsid w:val="00111284"/>
    <w:rsid w:val="001118BE"/>
    <w:rsid w:val="00115241"/>
    <w:rsid w:val="001163EB"/>
    <w:rsid w:val="00121276"/>
    <w:rsid w:val="001224C6"/>
    <w:rsid w:val="00131637"/>
    <w:rsid w:val="00131991"/>
    <w:rsid w:val="0013335E"/>
    <w:rsid w:val="00135DC0"/>
    <w:rsid w:val="00135E7C"/>
    <w:rsid w:val="0013726E"/>
    <w:rsid w:val="00143D1D"/>
    <w:rsid w:val="0014667B"/>
    <w:rsid w:val="0015672B"/>
    <w:rsid w:val="00162691"/>
    <w:rsid w:val="0017034F"/>
    <w:rsid w:val="00170B06"/>
    <w:rsid w:val="00173E9D"/>
    <w:rsid w:val="001754C2"/>
    <w:rsid w:val="0017557C"/>
    <w:rsid w:val="00175ACA"/>
    <w:rsid w:val="00182E67"/>
    <w:rsid w:val="00184E7E"/>
    <w:rsid w:val="001871AA"/>
    <w:rsid w:val="001872D4"/>
    <w:rsid w:val="001876C0"/>
    <w:rsid w:val="00190331"/>
    <w:rsid w:val="00194A6F"/>
    <w:rsid w:val="00197EF8"/>
    <w:rsid w:val="001A24EE"/>
    <w:rsid w:val="001A5265"/>
    <w:rsid w:val="001A5FD5"/>
    <w:rsid w:val="001B3133"/>
    <w:rsid w:val="001B55E0"/>
    <w:rsid w:val="001B6ED9"/>
    <w:rsid w:val="001C0816"/>
    <w:rsid w:val="001C2584"/>
    <w:rsid w:val="001C4FD0"/>
    <w:rsid w:val="001C66F3"/>
    <w:rsid w:val="001D02BC"/>
    <w:rsid w:val="001D0887"/>
    <w:rsid w:val="001D5002"/>
    <w:rsid w:val="001D5E02"/>
    <w:rsid w:val="001D7324"/>
    <w:rsid w:val="001E749D"/>
    <w:rsid w:val="001F192F"/>
    <w:rsid w:val="001F396A"/>
    <w:rsid w:val="002007FA"/>
    <w:rsid w:val="00206708"/>
    <w:rsid w:val="00207D97"/>
    <w:rsid w:val="00210B3E"/>
    <w:rsid w:val="00212625"/>
    <w:rsid w:val="00213744"/>
    <w:rsid w:val="00213936"/>
    <w:rsid w:val="00215310"/>
    <w:rsid w:val="00220EC2"/>
    <w:rsid w:val="00223B39"/>
    <w:rsid w:val="002276E0"/>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71F3"/>
    <w:rsid w:val="00267AAF"/>
    <w:rsid w:val="00271B14"/>
    <w:rsid w:val="0027316B"/>
    <w:rsid w:val="002741FD"/>
    <w:rsid w:val="00275322"/>
    <w:rsid w:val="00281E20"/>
    <w:rsid w:val="00286C6A"/>
    <w:rsid w:val="00294C44"/>
    <w:rsid w:val="00295175"/>
    <w:rsid w:val="0029608B"/>
    <w:rsid w:val="002971D6"/>
    <w:rsid w:val="00297965"/>
    <w:rsid w:val="002A5A60"/>
    <w:rsid w:val="002A727E"/>
    <w:rsid w:val="002B0953"/>
    <w:rsid w:val="002B1265"/>
    <w:rsid w:val="002B4C48"/>
    <w:rsid w:val="002B596F"/>
    <w:rsid w:val="002C22C2"/>
    <w:rsid w:val="002C2435"/>
    <w:rsid w:val="002C322E"/>
    <w:rsid w:val="002C7731"/>
    <w:rsid w:val="002D33BF"/>
    <w:rsid w:val="002D6806"/>
    <w:rsid w:val="002E0E33"/>
    <w:rsid w:val="002E4E27"/>
    <w:rsid w:val="002F0731"/>
    <w:rsid w:val="002F1435"/>
    <w:rsid w:val="002F4833"/>
    <w:rsid w:val="003029C2"/>
    <w:rsid w:val="00303031"/>
    <w:rsid w:val="00303D16"/>
    <w:rsid w:val="00307F2F"/>
    <w:rsid w:val="00312862"/>
    <w:rsid w:val="00313FF8"/>
    <w:rsid w:val="0031560F"/>
    <w:rsid w:val="003218D7"/>
    <w:rsid w:val="003252C5"/>
    <w:rsid w:val="00330269"/>
    <w:rsid w:val="00330D88"/>
    <w:rsid w:val="00330F3A"/>
    <w:rsid w:val="00333E6B"/>
    <w:rsid w:val="00334231"/>
    <w:rsid w:val="00336F41"/>
    <w:rsid w:val="00341535"/>
    <w:rsid w:val="00341B29"/>
    <w:rsid w:val="003456AF"/>
    <w:rsid w:val="003471B3"/>
    <w:rsid w:val="00347990"/>
    <w:rsid w:val="00352B38"/>
    <w:rsid w:val="003603A3"/>
    <w:rsid w:val="00360C89"/>
    <w:rsid w:val="0036113D"/>
    <w:rsid w:val="00362264"/>
    <w:rsid w:val="003623DE"/>
    <w:rsid w:val="00362F87"/>
    <w:rsid w:val="00365179"/>
    <w:rsid w:val="00365680"/>
    <w:rsid w:val="00370AEB"/>
    <w:rsid w:val="0037169F"/>
    <w:rsid w:val="00371C5F"/>
    <w:rsid w:val="00372C51"/>
    <w:rsid w:val="00373C16"/>
    <w:rsid w:val="003933B7"/>
    <w:rsid w:val="00394462"/>
    <w:rsid w:val="00396A44"/>
    <w:rsid w:val="003A0F8B"/>
    <w:rsid w:val="003A3D0E"/>
    <w:rsid w:val="003A4B6D"/>
    <w:rsid w:val="003A4EAB"/>
    <w:rsid w:val="003A5205"/>
    <w:rsid w:val="003B3155"/>
    <w:rsid w:val="003B34AA"/>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2E5C"/>
    <w:rsid w:val="003F3D0A"/>
    <w:rsid w:val="003F6833"/>
    <w:rsid w:val="00402FB6"/>
    <w:rsid w:val="004049D7"/>
    <w:rsid w:val="004154B5"/>
    <w:rsid w:val="0042000F"/>
    <w:rsid w:val="00420BBA"/>
    <w:rsid w:val="0042257B"/>
    <w:rsid w:val="00424B7B"/>
    <w:rsid w:val="004254EA"/>
    <w:rsid w:val="004262D6"/>
    <w:rsid w:val="00427457"/>
    <w:rsid w:val="0042771E"/>
    <w:rsid w:val="00434276"/>
    <w:rsid w:val="0044026E"/>
    <w:rsid w:val="0044129E"/>
    <w:rsid w:val="00445269"/>
    <w:rsid w:val="00447E1F"/>
    <w:rsid w:val="004509B9"/>
    <w:rsid w:val="0045116C"/>
    <w:rsid w:val="00452999"/>
    <w:rsid w:val="00453F41"/>
    <w:rsid w:val="00456040"/>
    <w:rsid w:val="00457F78"/>
    <w:rsid w:val="00461C52"/>
    <w:rsid w:val="00463740"/>
    <w:rsid w:val="00464581"/>
    <w:rsid w:val="00471EE8"/>
    <w:rsid w:val="00475927"/>
    <w:rsid w:val="00481860"/>
    <w:rsid w:val="00486410"/>
    <w:rsid w:val="004870CC"/>
    <w:rsid w:val="00490806"/>
    <w:rsid w:val="004914E1"/>
    <w:rsid w:val="004930E8"/>
    <w:rsid w:val="00495BB4"/>
    <w:rsid w:val="00497B60"/>
    <w:rsid w:val="00497EF1"/>
    <w:rsid w:val="004A2DB3"/>
    <w:rsid w:val="004A6CB8"/>
    <w:rsid w:val="004B7958"/>
    <w:rsid w:val="004C0B85"/>
    <w:rsid w:val="004C150D"/>
    <w:rsid w:val="004C3783"/>
    <w:rsid w:val="004C5873"/>
    <w:rsid w:val="004D05BC"/>
    <w:rsid w:val="004D08D4"/>
    <w:rsid w:val="004D2036"/>
    <w:rsid w:val="004D4B96"/>
    <w:rsid w:val="004D68C7"/>
    <w:rsid w:val="004D78B3"/>
    <w:rsid w:val="004E00B8"/>
    <w:rsid w:val="004E02D1"/>
    <w:rsid w:val="004E0EBD"/>
    <w:rsid w:val="004E16C1"/>
    <w:rsid w:val="004E50F2"/>
    <w:rsid w:val="004E64C5"/>
    <w:rsid w:val="004F0168"/>
    <w:rsid w:val="004F1194"/>
    <w:rsid w:val="004F33BC"/>
    <w:rsid w:val="004F385E"/>
    <w:rsid w:val="004F5AB4"/>
    <w:rsid w:val="004F6232"/>
    <w:rsid w:val="004F7601"/>
    <w:rsid w:val="004F77CA"/>
    <w:rsid w:val="00500D19"/>
    <w:rsid w:val="00503850"/>
    <w:rsid w:val="00505ACA"/>
    <w:rsid w:val="00506DB2"/>
    <w:rsid w:val="0051178B"/>
    <w:rsid w:val="00511D7F"/>
    <w:rsid w:val="005142E8"/>
    <w:rsid w:val="00517AE6"/>
    <w:rsid w:val="005213B5"/>
    <w:rsid w:val="005246CB"/>
    <w:rsid w:val="00531509"/>
    <w:rsid w:val="005359F4"/>
    <w:rsid w:val="00535B49"/>
    <w:rsid w:val="00536D9A"/>
    <w:rsid w:val="00536FFB"/>
    <w:rsid w:val="00537A2F"/>
    <w:rsid w:val="00550A90"/>
    <w:rsid w:val="005518A8"/>
    <w:rsid w:val="00552DB0"/>
    <w:rsid w:val="005542D3"/>
    <w:rsid w:val="005722AC"/>
    <w:rsid w:val="005764E6"/>
    <w:rsid w:val="00577E33"/>
    <w:rsid w:val="00581D9D"/>
    <w:rsid w:val="00582F35"/>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1B25"/>
    <w:rsid w:val="005D2851"/>
    <w:rsid w:val="005D3BC1"/>
    <w:rsid w:val="005D4616"/>
    <w:rsid w:val="005E2128"/>
    <w:rsid w:val="005E6211"/>
    <w:rsid w:val="005F3D83"/>
    <w:rsid w:val="005F6ECF"/>
    <w:rsid w:val="00600080"/>
    <w:rsid w:val="00602538"/>
    <w:rsid w:val="006060F6"/>
    <w:rsid w:val="0061075C"/>
    <w:rsid w:val="006126A1"/>
    <w:rsid w:val="0061298D"/>
    <w:rsid w:val="00612D90"/>
    <w:rsid w:val="00614E6E"/>
    <w:rsid w:val="0061765F"/>
    <w:rsid w:val="00617A8C"/>
    <w:rsid w:val="00620333"/>
    <w:rsid w:val="00620683"/>
    <w:rsid w:val="006240DC"/>
    <w:rsid w:val="0062510F"/>
    <w:rsid w:val="00625531"/>
    <w:rsid w:val="00633715"/>
    <w:rsid w:val="006340A9"/>
    <w:rsid w:val="00641DC3"/>
    <w:rsid w:val="00642D16"/>
    <w:rsid w:val="00650803"/>
    <w:rsid w:val="006557EE"/>
    <w:rsid w:val="00655C68"/>
    <w:rsid w:val="00657398"/>
    <w:rsid w:val="00661789"/>
    <w:rsid w:val="00666CF0"/>
    <w:rsid w:val="00672ACC"/>
    <w:rsid w:val="006760C1"/>
    <w:rsid w:val="0068271C"/>
    <w:rsid w:val="00683FE1"/>
    <w:rsid w:val="00690C08"/>
    <w:rsid w:val="00691B0B"/>
    <w:rsid w:val="00693E39"/>
    <w:rsid w:val="00694C72"/>
    <w:rsid w:val="00696AA9"/>
    <w:rsid w:val="006A2402"/>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7042"/>
    <w:rsid w:val="006F762C"/>
    <w:rsid w:val="00700908"/>
    <w:rsid w:val="00702395"/>
    <w:rsid w:val="0070353D"/>
    <w:rsid w:val="00705546"/>
    <w:rsid w:val="007122B5"/>
    <w:rsid w:val="00712D14"/>
    <w:rsid w:val="0071316C"/>
    <w:rsid w:val="0071351D"/>
    <w:rsid w:val="00713839"/>
    <w:rsid w:val="00715EF6"/>
    <w:rsid w:val="0072021A"/>
    <w:rsid w:val="007233BF"/>
    <w:rsid w:val="0072746D"/>
    <w:rsid w:val="00731137"/>
    <w:rsid w:val="0073178D"/>
    <w:rsid w:val="00733B09"/>
    <w:rsid w:val="00737D52"/>
    <w:rsid w:val="00737E37"/>
    <w:rsid w:val="0074702E"/>
    <w:rsid w:val="00752A96"/>
    <w:rsid w:val="00753D40"/>
    <w:rsid w:val="00756A98"/>
    <w:rsid w:val="00760666"/>
    <w:rsid w:val="00760BDF"/>
    <w:rsid w:val="007618FB"/>
    <w:rsid w:val="00771236"/>
    <w:rsid w:val="007737DD"/>
    <w:rsid w:val="00776713"/>
    <w:rsid w:val="00776AF8"/>
    <w:rsid w:val="00784737"/>
    <w:rsid w:val="00787DA2"/>
    <w:rsid w:val="007A15A2"/>
    <w:rsid w:val="007A4E3C"/>
    <w:rsid w:val="007B1FF5"/>
    <w:rsid w:val="007B2E04"/>
    <w:rsid w:val="007B5960"/>
    <w:rsid w:val="007B6C46"/>
    <w:rsid w:val="007C4353"/>
    <w:rsid w:val="007C6838"/>
    <w:rsid w:val="007C7AC6"/>
    <w:rsid w:val="007D0AC1"/>
    <w:rsid w:val="007D21B4"/>
    <w:rsid w:val="007D30B5"/>
    <w:rsid w:val="007D3854"/>
    <w:rsid w:val="007E2F2E"/>
    <w:rsid w:val="007E3259"/>
    <w:rsid w:val="007E3D2D"/>
    <w:rsid w:val="007E5A88"/>
    <w:rsid w:val="007E5B96"/>
    <w:rsid w:val="007F04A6"/>
    <w:rsid w:val="007F2337"/>
    <w:rsid w:val="007F313A"/>
    <w:rsid w:val="007F6627"/>
    <w:rsid w:val="007F7E70"/>
    <w:rsid w:val="00800E96"/>
    <w:rsid w:val="008018A3"/>
    <w:rsid w:val="008058A7"/>
    <w:rsid w:val="008116DF"/>
    <w:rsid w:val="00812D10"/>
    <w:rsid w:val="008137E4"/>
    <w:rsid w:val="0081547C"/>
    <w:rsid w:val="008200CF"/>
    <w:rsid w:val="00826383"/>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859FF"/>
    <w:rsid w:val="00891FEB"/>
    <w:rsid w:val="0089248D"/>
    <w:rsid w:val="008A07DB"/>
    <w:rsid w:val="008A0CD1"/>
    <w:rsid w:val="008A2078"/>
    <w:rsid w:val="008B044B"/>
    <w:rsid w:val="008B06DE"/>
    <w:rsid w:val="008B1AD2"/>
    <w:rsid w:val="008B1FEC"/>
    <w:rsid w:val="008B574D"/>
    <w:rsid w:val="008B5C2D"/>
    <w:rsid w:val="008B5CCF"/>
    <w:rsid w:val="008B6418"/>
    <w:rsid w:val="008B6AB2"/>
    <w:rsid w:val="008B7AB0"/>
    <w:rsid w:val="008C204E"/>
    <w:rsid w:val="008C2657"/>
    <w:rsid w:val="008C37C3"/>
    <w:rsid w:val="008C3FC6"/>
    <w:rsid w:val="008C63DB"/>
    <w:rsid w:val="008D0B7A"/>
    <w:rsid w:val="008D3D9C"/>
    <w:rsid w:val="008D4ECC"/>
    <w:rsid w:val="008D6D06"/>
    <w:rsid w:val="008D7A68"/>
    <w:rsid w:val="008E4926"/>
    <w:rsid w:val="008F0575"/>
    <w:rsid w:val="008F2591"/>
    <w:rsid w:val="008F4B86"/>
    <w:rsid w:val="008F5965"/>
    <w:rsid w:val="008F72F8"/>
    <w:rsid w:val="008F761B"/>
    <w:rsid w:val="00903FA3"/>
    <w:rsid w:val="00904BC6"/>
    <w:rsid w:val="00907E67"/>
    <w:rsid w:val="00910877"/>
    <w:rsid w:val="00912E5E"/>
    <w:rsid w:val="009162B3"/>
    <w:rsid w:val="00921F0A"/>
    <w:rsid w:val="00922E06"/>
    <w:rsid w:val="00930DD4"/>
    <w:rsid w:val="00936118"/>
    <w:rsid w:val="00936592"/>
    <w:rsid w:val="00937704"/>
    <w:rsid w:val="00942C77"/>
    <w:rsid w:val="00943A21"/>
    <w:rsid w:val="009449BF"/>
    <w:rsid w:val="00946ADB"/>
    <w:rsid w:val="0094719C"/>
    <w:rsid w:val="00947C71"/>
    <w:rsid w:val="00951A8E"/>
    <w:rsid w:val="009525FB"/>
    <w:rsid w:val="009527D5"/>
    <w:rsid w:val="00953116"/>
    <w:rsid w:val="00956E4A"/>
    <w:rsid w:val="009611CD"/>
    <w:rsid w:val="0096199D"/>
    <w:rsid w:val="00963821"/>
    <w:rsid w:val="00963D5B"/>
    <w:rsid w:val="0096455B"/>
    <w:rsid w:val="00964F6C"/>
    <w:rsid w:val="009671F0"/>
    <w:rsid w:val="00972056"/>
    <w:rsid w:val="00972967"/>
    <w:rsid w:val="00973B9C"/>
    <w:rsid w:val="00980ED1"/>
    <w:rsid w:val="00981226"/>
    <w:rsid w:val="0098357D"/>
    <w:rsid w:val="00983B68"/>
    <w:rsid w:val="0098779D"/>
    <w:rsid w:val="00992034"/>
    <w:rsid w:val="00994660"/>
    <w:rsid w:val="009A05FF"/>
    <w:rsid w:val="009A1FEC"/>
    <w:rsid w:val="009A5C5C"/>
    <w:rsid w:val="009B343A"/>
    <w:rsid w:val="009B3B56"/>
    <w:rsid w:val="009B6604"/>
    <w:rsid w:val="009B6C57"/>
    <w:rsid w:val="009B7A45"/>
    <w:rsid w:val="009B7EBE"/>
    <w:rsid w:val="009C06F5"/>
    <w:rsid w:val="009C1095"/>
    <w:rsid w:val="009C4CF8"/>
    <w:rsid w:val="009C61F9"/>
    <w:rsid w:val="009C7B08"/>
    <w:rsid w:val="009D0AF5"/>
    <w:rsid w:val="009D0FD4"/>
    <w:rsid w:val="009D11FB"/>
    <w:rsid w:val="009D2968"/>
    <w:rsid w:val="009D33E9"/>
    <w:rsid w:val="009D553B"/>
    <w:rsid w:val="009D6A1A"/>
    <w:rsid w:val="009E0C4D"/>
    <w:rsid w:val="009E0E6E"/>
    <w:rsid w:val="009E6443"/>
    <w:rsid w:val="009E6DDF"/>
    <w:rsid w:val="009E7C4F"/>
    <w:rsid w:val="009F00BC"/>
    <w:rsid w:val="009F1642"/>
    <w:rsid w:val="009F4BE4"/>
    <w:rsid w:val="00A00630"/>
    <w:rsid w:val="00A03A96"/>
    <w:rsid w:val="00A058CB"/>
    <w:rsid w:val="00A075B9"/>
    <w:rsid w:val="00A11879"/>
    <w:rsid w:val="00A134B1"/>
    <w:rsid w:val="00A14EAE"/>
    <w:rsid w:val="00A15B9B"/>
    <w:rsid w:val="00A21FED"/>
    <w:rsid w:val="00A239BD"/>
    <w:rsid w:val="00A2408E"/>
    <w:rsid w:val="00A25EF7"/>
    <w:rsid w:val="00A26A7B"/>
    <w:rsid w:val="00A40307"/>
    <w:rsid w:val="00A50C05"/>
    <w:rsid w:val="00A54283"/>
    <w:rsid w:val="00A544BA"/>
    <w:rsid w:val="00A55CA7"/>
    <w:rsid w:val="00A6034F"/>
    <w:rsid w:val="00A6184D"/>
    <w:rsid w:val="00A6191E"/>
    <w:rsid w:val="00A660EB"/>
    <w:rsid w:val="00A66FFF"/>
    <w:rsid w:val="00A71D64"/>
    <w:rsid w:val="00A730D0"/>
    <w:rsid w:val="00A75121"/>
    <w:rsid w:val="00A75A40"/>
    <w:rsid w:val="00A82EDB"/>
    <w:rsid w:val="00A87E14"/>
    <w:rsid w:val="00A90B54"/>
    <w:rsid w:val="00A91F30"/>
    <w:rsid w:val="00A942F3"/>
    <w:rsid w:val="00A97A65"/>
    <w:rsid w:val="00AA0348"/>
    <w:rsid w:val="00AA3791"/>
    <w:rsid w:val="00AA4120"/>
    <w:rsid w:val="00AA61A8"/>
    <w:rsid w:val="00AB114E"/>
    <w:rsid w:val="00AB23A3"/>
    <w:rsid w:val="00AB46D2"/>
    <w:rsid w:val="00AB51C4"/>
    <w:rsid w:val="00AB5801"/>
    <w:rsid w:val="00AB6235"/>
    <w:rsid w:val="00AC1B3B"/>
    <w:rsid w:val="00AC5F26"/>
    <w:rsid w:val="00AD1745"/>
    <w:rsid w:val="00AD2262"/>
    <w:rsid w:val="00AD2DED"/>
    <w:rsid w:val="00AD4EDA"/>
    <w:rsid w:val="00AD798E"/>
    <w:rsid w:val="00AE0B9A"/>
    <w:rsid w:val="00AE1158"/>
    <w:rsid w:val="00AE249C"/>
    <w:rsid w:val="00AE2762"/>
    <w:rsid w:val="00AE2E76"/>
    <w:rsid w:val="00AE4B32"/>
    <w:rsid w:val="00AE4EAD"/>
    <w:rsid w:val="00AE5ABE"/>
    <w:rsid w:val="00AE5DF0"/>
    <w:rsid w:val="00AE6BA2"/>
    <w:rsid w:val="00AE6D64"/>
    <w:rsid w:val="00AF23B3"/>
    <w:rsid w:val="00AF3FB5"/>
    <w:rsid w:val="00AF4722"/>
    <w:rsid w:val="00AF476C"/>
    <w:rsid w:val="00AF5141"/>
    <w:rsid w:val="00B07908"/>
    <w:rsid w:val="00B1548E"/>
    <w:rsid w:val="00B24791"/>
    <w:rsid w:val="00B26351"/>
    <w:rsid w:val="00B31802"/>
    <w:rsid w:val="00B3419F"/>
    <w:rsid w:val="00B34A8F"/>
    <w:rsid w:val="00B353E2"/>
    <w:rsid w:val="00B40194"/>
    <w:rsid w:val="00B411C4"/>
    <w:rsid w:val="00B42905"/>
    <w:rsid w:val="00B45622"/>
    <w:rsid w:val="00B45BDB"/>
    <w:rsid w:val="00B6173A"/>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95E0D"/>
    <w:rsid w:val="00BA1726"/>
    <w:rsid w:val="00BA46A7"/>
    <w:rsid w:val="00BB325B"/>
    <w:rsid w:val="00BB7649"/>
    <w:rsid w:val="00BB7AC5"/>
    <w:rsid w:val="00BB7FBA"/>
    <w:rsid w:val="00BC0505"/>
    <w:rsid w:val="00BC248D"/>
    <w:rsid w:val="00BC3552"/>
    <w:rsid w:val="00BC6DF8"/>
    <w:rsid w:val="00BC78F2"/>
    <w:rsid w:val="00BD0106"/>
    <w:rsid w:val="00BD12D3"/>
    <w:rsid w:val="00BE15F5"/>
    <w:rsid w:val="00BE2A39"/>
    <w:rsid w:val="00BE4F17"/>
    <w:rsid w:val="00BE5417"/>
    <w:rsid w:val="00BE765F"/>
    <w:rsid w:val="00C0177B"/>
    <w:rsid w:val="00C04D38"/>
    <w:rsid w:val="00C06CEE"/>
    <w:rsid w:val="00C10BEA"/>
    <w:rsid w:val="00C12E0B"/>
    <w:rsid w:val="00C143D4"/>
    <w:rsid w:val="00C14E08"/>
    <w:rsid w:val="00C210DA"/>
    <w:rsid w:val="00C3115C"/>
    <w:rsid w:val="00C3161B"/>
    <w:rsid w:val="00C32386"/>
    <w:rsid w:val="00C33332"/>
    <w:rsid w:val="00C4135D"/>
    <w:rsid w:val="00C42B4F"/>
    <w:rsid w:val="00C4449B"/>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5C52"/>
    <w:rsid w:val="00C863E2"/>
    <w:rsid w:val="00C90159"/>
    <w:rsid w:val="00C92536"/>
    <w:rsid w:val="00CA3854"/>
    <w:rsid w:val="00CA3C44"/>
    <w:rsid w:val="00CA77A1"/>
    <w:rsid w:val="00CB0BD7"/>
    <w:rsid w:val="00CB1ED4"/>
    <w:rsid w:val="00CB3908"/>
    <w:rsid w:val="00CB4C0B"/>
    <w:rsid w:val="00CC147E"/>
    <w:rsid w:val="00CC1786"/>
    <w:rsid w:val="00CC5B2A"/>
    <w:rsid w:val="00CC6475"/>
    <w:rsid w:val="00CD06BB"/>
    <w:rsid w:val="00CD2AB3"/>
    <w:rsid w:val="00CD2D7F"/>
    <w:rsid w:val="00CD412C"/>
    <w:rsid w:val="00CD4334"/>
    <w:rsid w:val="00CD6E81"/>
    <w:rsid w:val="00CD7C43"/>
    <w:rsid w:val="00CE1469"/>
    <w:rsid w:val="00CE2487"/>
    <w:rsid w:val="00CE3F48"/>
    <w:rsid w:val="00CE6FB4"/>
    <w:rsid w:val="00CF146A"/>
    <w:rsid w:val="00CF2EBF"/>
    <w:rsid w:val="00CF3015"/>
    <w:rsid w:val="00CF5CF4"/>
    <w:rsid w:val="00CF7E1F"/>
    <w:rsid w:val="00D03468"/>
    <w:rsid w:val="00D03703"/>
    <w:rsid w:val="00D03911"/>
    <w:rsid w:val="00D04CAD"/>
    <w:rsid w:val="00D0526B"/>
    <w:rsid w:val="00D13F1B"/>
    <w:rsid w:val="00D15670"/>
    <w:rsid w:val="00D15B8F"/>
    <w:rsid w:val="00D17C70"/>
    <w:rsid w:val="00D22054"/>
    <w:rsid w:val="00D23654"/>
    <w:rsid w:val="00D2438B"/>
    <w:rsid w:val="00D264C9"/>
    <w:rsid w:val="00D30BB9"/>
    <w:rsid w:val="00D31285"/>
    <w:rsid w:val="00D32E23"/>
    <w:rsid w:val="00D33D9D"/>
    <w:rsid w:val="00D35E3B"/>
    <w:rsid w:val="00D37907"/>
    <w:rsid w:val="00D448EB"/>
    <w:rsid w:val="00D50534"/>
    <w:rsid w:val="00D50F56"/>
    <w:rsid w:val="00D5226F"/>
    <w:rsid w:val="00D5532C"/>
    <w:rsid w:val="00D56ABA"/>
    <w:rsid w:val="00D570FF"/>
    <w:rsid w:val="00D579B5"/>
    <w:rsid w:val="00D57B09"/>
    <w:rsid w:val="00D61E20"/>
    <w:rsid w:val="00D62935"/>
    <w:rsid w:val="00D71CCC"/>
    <w:rsid w:val="00D71F89"/>
    <w:rsid w:val="00D72C28"/>
    <w:rsid w:val="00D73AA3"/>
    <w:rsid w:val="00D75D58"/>
    <w:rsid w:val="00D77789"/>
    <w:rsid w:val="00D779CB"/>
    <w:rsid w:val="00D8198F"/>
    <w:rsid w:val="00D81E3A"/>
    <w:rsid w:val="00D82146"/>
    <w:rsid w:val="00D862CE"/>
    <w:rsid w:val="00D86726"/>
    <w:rsid w:val="00DA0177"/>
    <w:rsid w:val="00DA02C0"/>
    <w:rsid w:val="00DA7065"/>
    <w:rsid w:val="00DB0087"/>
    <w:rsid w:val="00DB0397"/>
    <w:rsid w:val="00DB39FE"/>
    <w:rsid w:val="00DC1EC0"/>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178"/>
    <w:rsid w:val="00E214DE"/>
    <w:rsid w:val="00E2164B"/>
    <w:rsid w:val="00E21F47"/>
    <w:rsid w:val="00E24AE6"/>
    <w:rsid w:val="00E257D2"/>
    <w:rsid w:val="00E26567"/>
    <w:rsid w:val="00E27507"/>
    <w:rsid w:val="00E306AD"/>
    <w:rsid w:val="00E32368"/>
    <w:rsid w:val="00E36FCE"/>
    <w:rsid w:val="00E55E87"/>
    <w:rsid w:val="00E56320"/>
    <w:rsid w:val="00E57036"/>
    <w:rsid w:val="00E63F56"/>
    <w:rsid w:val="00E64913"/>
    <w:rsid w:val="00E6613F"/>
    <w:rsid w:val="00E67657"/>
    <w:rsid w:val="00E70649"/>
    <w:rsid w:val="00E7101D"/>
    <w:rsid w:val="00E71E6F"/>
    <w:rsid w:val="00E75A88"/>
    <w:rsid w:val="00E7703C"/>
    <w:rsid w:val="00E805E8"/>
    <w:rsid w:val="00E80666"/>
    <w:rsid w:val="00E8159E"/>
    <w:rsid w:val="00E862E6"/>
    <w:rsid w:val="00E91344"/>
    <w:rsid w:val="00E9380E"/>
    <w:rsid w:val="00EA34E5"/>
    <w:rsid w:val="00EA5770"/>
    <w:rsid w:val="00EA6377"/>
    <w:rsid w:val="00EB195F"/>
    <w:rsid w:val="00EB2368"/>
    <w:rsid w:val="00EB542F"/>
    <w:rsid w:val="00EC0AA6"/>
    <w:rsid w:val="00EC122F"/>
    <w:rsid w:val="00EC16E9"/>
    <w:rsid w:val="00EC24AE"/>
    <w:rsid w:val="00ED0977"/>
    <w:rsid w:val="00ED16C6"/>
    <w:rsid w:val="00ED4907"/>
    <w:rsid w:val="00EE03AE"/>
    <w:rsid w:val="00EE06EC"/>
    <w:rsid w:val="00EE3220"/>
    <w:rsid w:val="00EE3D1A"/>
    <w:rsid w:val="00EF1343"/>
    <w:rsid w:val="00EF4214"/>
    <w:rsid w:val="00EF4439"/>
    <w:rsid w:val="00EF7F93"/>
    <w:rsid w:val="00F008EF"/>
    <w:rsid w:val="00F02DC4"/>
    <w:rsid w:val="00F048FF"/>
    <w:rsid w:val="00F05705"/>
    <w:rsid w:val="00F14735"/>
    <w:rsid w:val="00F15731"/>
    <w:rsid w:val="00F15757"/>
    <w:rsid w:val="00F20091"/>
    <w:rsid w:val="00F261B1"/>
    <w:rsid w:val="00F26C2D"/>
    <w:rsid w:val="00F27A1F"/>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2735"/>
    <w:rsid w:val="00F8624F"/>
    <w:rsid w:val="00F94980"/>
    <w:rsid w:val="00F953F2"/>
    <w:rsid w:val="00F969A3"/>
    <w:rsid w:val="00F97CAD"/>
    <w:rsid w:val="00F97D27"/>
    <w:rsid w:val="00FA098F"/>
    <w:rsid w:val="00FA1D8C"/>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71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2E"/>
    <w:rPr>
      <w:rFonts w:ascii="宋体" w:eastAsia="宋体" w:hAnsi="宋体" w:cs="宋体"/>
      <w:kern w:val="0"/>
      <w:sz w:val="24"/>
      <w:szCs w:val="24"/>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numPr>
        <w:ilvl w:val="5"/>
        <w:numId w:val="1"/>
      </w:numPr>
      <w:spacing w:before="120" w:after="180"/>
      <w:outlineLvl w:val="5"/>
    </w:pPr>
    <w:rPr>
      <w:rFonts w:ascii="Arial" w:hAnsi="Arial" w:cs="Times New Roman"/>
      <w:sz w:val="20"/>
      <w:szCs w:val="20"/>
      <w:lang w:val="en-GB" w:eastAsia="en-US"/>
    </w:rPr>
  </w:style>
  <w:style w:type="paragraph" w:styleId="Heading7">
    <w:name w:val="heading 7"/>
    <w:basedOn w:val="Normal"/>
    <w:next w:val="Normal"/>
    <w:link w:val="Heading7Char"/>
    <w:qFormat/>
    <w:rsid w:val="00FF76F4"/>
    <w:pPr>
      <w:keepNext/>
      <w:keepLines/>
      <w:numPr>
        <w:ilvl w:val="6"/>
        <w:numId w:val="1"/>
      </w:numPr>
      <w:spacing w:before="120" w:after="180"/>
      <w:outlineLvl w:val="6"/>
    </w:pPr>
    <w:rPr>
      <w:rFonts w:ascii="Arial" w:hAnsi="Arial" w:cs="Times New Roman"/>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overflowPunct w:val="0"/>
      <w:autoSpaceDE w:val="0"/>
      <w:autoSpaceDN w:val="0"/>
      <w:adjustRightInd w:val="0"/>
      <w:jc w:val="center"/>
      <w:textAlignment w:val="baseline"/>
    </w:pPr>
    <w:rPr>
      <w:rFonts w:ascii="Arial" w:hAnsi="Arial" w:cs="Times New Roman"/>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spacing w:before="100" w:beforeAutospacing="1" w:after="100" w:afterAutospacing="1"/>
    </w:pPr>
  </w:style>
  <w:style w:type="paragraph" w:styleId="BalloonText">
    <w:name w:val="Balloon Text"/>
    <w:basedOn w:val="Normal"/>
    <w:link w:val="BalloonTextChar"/>
    <w:uiPriority w:val="99"/>
    <w:semiHidden/>
    <w:unhideWhenUsed/>
    <w:rsid w:val="00A87E14"/>
    <w:pPr>
      <w:widowControl w:val="0"/>
      <w:jc w:val="both"/>
    </w:pPr>
    <w:rPr>
      <w:rFonts w:asciiTheme="minorHAnsi" w:eastAsiaTheme="minorEastAsia" w:hAnsiTheme="minorHAnsi" w:cstheme="minorBidi"/>
      <w:kern w:val="2"/>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ind w:left="851" w:hanging="851"/>
    </w:pPr>
    <w:rPr>
      <w:rFonts w:ascii="Arial" w:hAnsi="Arial" w:cs="Times New Roman"/>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widowControl w:val="0"/>
      <w:ind w:left="200" w:hangingChars="200" w:hanging="200"/>
      <w:contextualSpacing/>
      <w:jc w:val="both"/>
    </w:pPr>
    <w:rPr>
      <w:rFonts w:asciiTheme="minorHAnsi" w:eastAsiaTheme="minorEastAsia" w:hAnsiTheme="minorHAnsi" w:cstheme="minorBidi"/>
      <w:kern w:val="2"/>
      <w:sz w:val="21"/>
      <w:szCs w:val="22"/>
    </w:r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spacing w:after="240"/>
      <w:jc w:val="both"/>
    </w:pPr>
    <w:rPr>
      <w:rFonts w:ascii="Arial" w:hAnsi="Arial" w:cs="Times New Roman"/>
      <w:sz w:val="20"/>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ind w:left="454" w:hanging="454"/>
    </w:pPr>
    <w:rPr>
      <w:rFonts w:ascii="Arial" w:hAnsi="Arial" w:cs="Times New Roman"/>
      <w:sz w:val="16"/>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rPr>
      <w:rFonts w:ascii="Arial" w:hAnsi="Arial" w:cs="Times New Roman"/>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widowControl w:val="0"/>
      <w:autoSpaceDE w:val="0"/>
      <w:autoSpaceDN w:val="0"/>
      <w:spacing w:line="252" w:lineRule="auto"/>
      <w:ind w:firstLine="202"/>
      <w:jc w:val="both"/>
    </w:pPr>
    <w:rPr>
      <w:rFonts w:ascii="Arial" w:hAnsi="Arial" w:cs="Times New Roman"/>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numPr>
        <w:ilvl w:val="1"/>
        <w:numId w:val="4"/>
      </w:numPr>
      <w:overflowPunct w:val="0"/>
      <w:autoSpaceDE w:val="0"/>
      <w:autoSpaceDN w:val="0"/>
      <w:adjustRightInd w:val="0"/>
      <w:spacing w:before="480" w:after="240"/>
      <w:textAlignment w:val="baseline"/>
    </w:pPr>
    <w:rPr>
      <w:rFonts w:ascii="Arial" w:hAnsi="Arial" w:cs="Times New Roman"/>
      <w:b/>
      <w:caps/>
      <w:sz w:val="20"/>
      <w:lang w:val="en-GB" w:eastAsia="en-US"/>
    </w:rPr>
  </w:style>
  <w:style w:type="paragraph" w:customStyle="1" w:styleId="ECCAnnexheading3">
    <w:name w:val="ECC Annex heading3"/>
    <w:basedOn w:val="Normal"/>
    <w:next w:val="ECCParagraph"/>
    <w:rsid w:val="00AE4B32"/>
    <w:pPr>
      <w:numPr>
        <w:ilvl w:val="2"/>
        <w:numId w:val="4"/>
      </w:numPr>
      <w:overflowPunct w:val="0"/>
      <w:autoSpaceDE w:val="0"/>
      <w:autoSpaceDN w:val="0"/>
      <w:adjustRightInd w:val="0"/>
      <w:spacing w:before="360" w:after="120"/>
      <w:textAlignment w:val="baseline"/>
    </w:pPr>
    <w:rPr>
      <w:rFonts w:ascii="Arial" w:hAnsi="Arial" w:cs="Times New Roman"/>
      <w:b/>
      <w:sz w:val="20"/>
      <w:lang w:val="en-GB" w:eastAsia="en-US"/>
    </w:rPr>
  </w:style>
  <w:style w:type="paragraph" w:customStyle="1" w:styleId="ECCAnnexheading4">
    <w:name w:val="ECC Annex heading4"/>
    <w:basedOn w:val="Normal"/>
    <w:next w:val="ECCParagraph"/>
    <w:rsid w:val="00AE4B32"/>
    <w:pPr>
      <w:numPr>
        <w:ilvl w:val="3"/>
        <w:numId w:val="4"/>
      </w:numPr>
      <w:overflowPunct w:val="0"/>
      <w:autoSpaceDE w:val="0"/>
      <w:autoSpaceDN w:val="0"/>
      <w:adjustRightInd w:val="0"/>
      <w:spacing w:before="360" w:after="120"/>
      <w:textAlignment w:val="baseline"/>
    </w:pPr>
    <w:rPr>
      <w:rFonts w:ascii="Arial" w:hAnsi="Arial" w:cs="Times New Roman"/>
      <w:i/>
      <w:color w:val="D2232A"/>
      <w:sz w:val="20"/>
      <w:lang w:val="en-GB" w:eastAsia="en-US"/>
    </w:rPr>
  </w:style>
  <w:style w:type="paragraph" w:styleId="Caption">
    <w:name w:val="caption"/>
    <w:basedOn w:val="Normal"/>
    <w:next w:val="Normal"/>
    <w:unhideWhenUsed/>
    <w:qFormat/>
    <w:rsid w:val="00AE4B32"/>
    <w:pPr>
      <w:spacing w:before="240" w:after="240"/>
      <w:jc w:val="center"/>
    </w:pPr>
    <w:rPr>
      <w:rFonts w:ascii="Arial" w:hAnsi="Arial" w:cs="Times New Roman"/>
      <w:b/>
      <w:bCs/>
      <w:color w:val="D2232A"/>
      <w:sz w:val="20"/>
      <w:szCs w:val="20"/>
      <w:lang w:val="en-GB" w:eastAsia="en-US"/>
    </w:rPr>
  </w:style>
  <w:style w:type="paragraph" w:customStyle="1" w:styleId="EQ">
    <w:name w:val="EQ"/>
    <w:basedOn w:val="Normal"/>
    <w:next w:val="Normal"/>
    <w:rsid w:val="00AE4B32"/>
    <w:pPr>
      <w:keepLines/>
      <w:widowControl w:val="0"/>
      <w:tabs>
        <w:tab w:val="right" w:pos="9356"/>
      </w:tabs>
      <w:spacing w:after="240"/>
    </w:pPr>
    <w:rPr>
      <w:rFonts w:ascii="Arial" w:hAnsi="Arial" w:cs="Times New Roman"/>
      <w:noProof/>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widowControl w:val="0"/>
    </w:pPr>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spacing w:after="180"/>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eastAsiaTheme="minorEastAsia" w:hAnsi="Times New Roman" w:cs="Times New Roman"/>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overflowPunct w:val="0"/>
      <w:autoSpaceDE w:val="0"/>
      <w:autoSpaceDN w:val="0"/>
      <w:adjustRightInd w:val="0"/>
      <w:spacing w:before="480"/>
      <w:jc w:val="center"/>
      <w:textAlignment w:val="baseline"/>
    </w:pPr>
    <w:rPr>
      <w:rFonts w:ascii="Times New Roman" w:eastAsiaTheme="minorEastAsia" w:hAnsi="Times New Roman" w:cs="Times New Roman"/>
      <w:sz w:val="28"/>
      <w:szCs w:val="20"/>
      <w:lang w:val="fr-FR" w:eastAsia="en-US"/>
    </w:rPr>
  </w:style>
  <w:style w:type="paragraph" w:customStyle="1" w:styleId="EW">
    <w:name w:val="EW"/>
    <w:basedOn w:val="Normal"/>
    <w:rsid w:val="009D553B"/>
    <w:pPr>
      <w:keepLines/>
      <w:ind w:left="1702" w:hanging="1418"/>
    </w:pPr>
    <w:rPr>
      <w:rFonts w:ascii="Times New Roman" w:eastAsiaTheme="minorEastAsia" w:hAnsi="Times New Roman" w:cs="Times New Roman"/>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spacing w:after="180"/>
    </w:pPr>
    <w:rPr>
      <w:rFonts w:ascii="Times New Roman" w:eastAsia="MS Mincho" w:hAnsi="Times New Roman" w:cs="Times New Roman"/>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pPr>
      <w:widowControl w:val="0"/>
      <w:jc w:val="both"/>
    </w:pPr>
    <w:rPr>
      <w:rFonts w:asciiTheme="minorHAnsi" w:eastAsiaTheme="minorEastAsia" w:hAnsiTheme="minorHAnsi" w:cstheme="minorBidi"/>
      <w:kern w:val="2"/>
      <w:sz w:val="21"/>
      <w:szCs w:val="22"/>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harChar3">
    <w:name w:val="Char Char3"/>
    <w:basedOn w:val="DefaultParagraphFont"/>
    <w:rsid w:val="000F6C2D"/>
    <w:rPr>
      <w:rFonts w:ascii="Arial" w:eastAsia="MS Mincho" w:hAnsi="Arial" w:cs="Arial"/>
      <w:bCs/>
      <w:sz w:val="26"/>
      <w:szCs w:val="26"/>
      <w:lang w:val="en-GB" w:eastAsia="en-GB" w:bidi="ar-SA"/>
    </w:rPr>
  </w:style>
  <w:style w:type="paragraph" w:customStyle="1" w:styleId="TAL">
    <w:name w:val="TAL"/>
    <w:basedOn w:val="Normal"/>
    <w:link w:val="TALCar"/>
    <w:qFormat/>
    <w:rsid w:val="006760C1"/>
    <w:pPr>
      <w:keepNext/>
      <w:keepLines/>
    </w:pPr>
    <w:rPr>
      <w:rFonts w:ascii="Arial" w:eastAsiaTheme="minorEastAsia" w:hAnsi="Arial" w:cs="Times New Roman"/>
      <w:sz w:val="18"/>
      <w:szCs w:val="20"/>
      <w:lang w:val="en-GB" w:eastAsia="en-US"/>
    </w:rPr>
  </w:style>
  <w:style w:type="character" w:customStyle="1" w:styleId="TALCar">
    <w:name w:val="TAL Car"/>
    <w:link w:val="TAL"/>
    <w:rsid w:val="006760C1"/>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2E"/>
    <w:rPr>
      <w:rFonts w:ascii="宋体" w:eastAsia="宋体" w:hAnsi="宋体" w:cs="宋体"/>
      <w:kern w:val="0"/>
      <w:sz w:val="24"/>
      <w:szCs w:val="24"/>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numPr>
        <w:ilvl w:val="5"/>
        <w:numId w:val="1"/>
      </w:numPr>
      <w:spacing w:before="120" w:after="180"/>
      <w:outlineLvl w:val="5"/>
    </w:pPr>
    <w:rPr>
      <w:rFonts w:ascii="Arial" w:hAnsi="Arial" w:cs="Times New Roman"/>
      <w:sz w:val="20"/>
      <w:szCs w:val="20"/>
      <w:lang w:val="en-GB" w:eastAsia="en-US"/>
    </w:rPr>
  </w:style>
  <w:style w:type="paragraph" w:styleId="Heading7">
    <w:name w:val="heading 7"/>
    <w:basedOn w:val="Normal"/>
    <w:next w:val="Normal"/>
    <w:link w:val="Heading7Char"/>
    <w:qFormat/>
    <w:rsid w:val="00FF76F4"/>
    <w:pPr>
      <w:keepNext/>
      <w:keepLines/>
      <w:numPr>
        <w:ilvl w:val="6"/>
        <w:numId w:val="1"/>
      </w:numPr>
      <w:spacing w:before="120" w:after="180"/>
      <w:outlineLvl w:val="6"/>
    </w:pPr>
    <w:rPr>
      <w:rFonts w:ascii="Arial" w:hAnsi="Arial" w:cs="Times New Roman"/>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overflowPunct w:val="0"/>
      <w:autoSpaceDE w:val="0"/>
      <w:autoSpaceDN w:val="0"/>
      <w:adjustRightInd w:val="0"/>
      <w:jc w:val="center"/>
      <w:textAlignment w:val="baseline"/>
    </w:pPr>
    <w:rPr>
      <w:rFonts w:ascii="Arial" w:hAnsi="Arial" w:cs="Times New Roman"/>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spacing w:before="100" w:beforeAutospacing="1" w:after="100" w:afterAutospacing="1"/>
    </w:pPr>
  </w:style>
  <w:style w:type="paragraph" w:styleId="BalloonText">
    <w:name w:val="Balloon Text"/>
    <w:basedOn w:val="Normal"/>
    <w:link w:val="BalloonTextChar"/>
    <w:uiPriority w:val="99"/>
    <w:semiHidden/>
    <w:unhideWhenUsed/>
    <w:rsid w:val="00A87E14"/>
    <w:pPr>
      <w:widowControl w:val="0"/>
      <w:jc w:val="both"/>
    </w:pPr>
    <w:rPr>
      <w:rFonts w:asciiTheme="minorHAnsi" w:eastAsiaTheme="minorEastAsia" w:hAnsiTheme="minorHAnsi" w:cstheme="minorBidi"/>
      <w:kern w:val="2"/>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ind w:left="851" w:hanging="851"/>
    </w:pPr>
    <w:rPr>
      <w:rFonts w:ascii="Arial" w:hAnsi="Arial" w:cs="Times New Roman"/>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widowControl w:val="0"/>
      <w:ind w:left="200" w:hangingChars="200" w:hanging="200"/>
      <w:contextualSpacing/>
      <w:jc w:val="both"/>
    </w:pPr>
    <w:rPr>
      <w:rFonts w:asciiTheme="minorHAnsi" w:eastAsiaTheme="minorEastAsia" w:hAnsiTheme="minorHAnsi" w:cstheme="minorBidi"/>
      <w:kern w:val="2"/>
      <w:sz w:val="21"/>
      <w:szCs w:val="22"/>
    </w:r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spacing w:after="240"/>
      <w:jc w:val="both"/>
    </w:pPr>
    <w:rPr>
      <w:rFonts w:ascii="Arial" w:hAnsi="Arial" w:cs="Times New Roman"/>
      <w:sz w:val="20"/>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ind w:left="454" w:hanging="454"/>
    </w:pPr>
    <w:rPr>
      <w:rFonts w:ascii="Arial" w:hAnsi="Arial" w:cs="Times New Roman"/>
      <w:sz w:val="16"/>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rPr>
      <w:rFonts w:ascii="Arial" w:hAnsi="Arial" w:cs="Times New Roman"/>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widowControl w:val="0"/>
      <w:autoSpaceDE w:val="0"/>
      <w:autoSpaceDN w:val="0"/>
      <w:spacing w:line="252" w:lineRule="auto"/>
      <w:ind w:firstLine="202"/>
      <w:jc w:val="both"/>
    </w:pPr>
    <w:rPr>
      <w:rFonts w:ascii="Arial" w:hAnsi="Arial" w:cs="Times New Roman"/>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numPr>
        <w:ilvl w:val="1"/>
        <w:numId w:val="4"/>
      </w:numPr>
      <w:overflowPunct w:val="0"/>
      <w:autoSpaceDE w:val="0"/>
      <w:autoSpaceDN w:val="0"/>
      <w:adjustRightInd w:val="0"/>
      <w:spacing w:before="480" w:after="240"/>
      <w:textAlignment w:val="baseline"/>
    </w:pPr>
    <w:rPr>
      <w:rFonts w:ascii="Arial" w:hAnsi="Arial" w:cs="Times New Roman"/>
      <w:b/>
      <w:caps/>
      <w:sz w:val="20"/>
      <w:lang w:val="en-GB" w:eastAsia="en-US"/>
    </w:rPr>
  </w:style>
  <w:style w:type="paragraph" w:customStyle="1" w:styleId="ECCAnnexheading3">
    <w:name w:val="ECC Annex heading3"/>
    <w:basedOn w:val="Normal"/>
    <w:next w:val="ECCParagraph"/>
    <w:rsid w:val="00AE4B32"/>
    <w:pPr>
      <w:numPr>
        <w:ilvl w:val="2"/>
        <w:numId w:val="4"/>
      </w:numPr>
      <w:overflowPunct w:val="0"/>
      <w:autoSpaceDE w:val="0"/>
      <w:autoSpaceDN w:val="0"/>
      <w:adjustRightInd w:val="0"/>
      <w:spacing w:before="360" w:after="120"/>
      <w:textAlignment w:val="baseline"/>
    </w:pPr>
    <w:rPr>
      <w:rFonts w:ascii="Arial" w:hAnsi="Arial" w:cs="Times New Roman"/>
      <w:b/>
      <w:sz w:val="20"/>
      <w:lang w:val="en-GB" w:eastAsia="en-US"/>
    </w:rPr>
  </w:style>
  <w:style w:type="paragraph" w:customStyle="1" w:styleId="ECCAnnexheading4">
    <w:name w:val="ECC Annex heading4"/>
    <w:basedOn w:val="Normal"/>
    <w:next w:val="ECCParagraph"/>
    <w:rsid w:val="00AE4B32"/>
    <w:pPr>
      <w:numPr>
        <w:ilvl w:val="3"/>
        <w:numId w:val="4"/>
      </w:numPr>
      <w:overflowPunct w:val="0"/>
      <w:autoSpaceDE w:val="0"/>
      <w:autoSpaceDN w:val="0"/>
      <w:adjustRightInd w:val="0"/>
      <w:spacing w:before="360" w:after="120"/>
      <w:textAlignment w:val="baseline"/>
    </w:pPr>
    <w:rPr>
      <w:rFonts w:ascii="Arial" w:hAnsi="Arial" w:cs="Times New Roman"/>
      <w:i/>
      <w:color w:val="D2232A"/>
      <w:sz w:val="20"/>
      <w:lang w:val="en-GB" w:eastAsia="en-US"/>
    </w:rPr>
  </w:style>
  <w:style w:type="paragraph" w:styleId="Caption">
    <w:name w:val="caption"/>
    <w:basedOn w:val="Normal"/>
    <w:next w:val="Normal"/>
    <w:unhideWhenUsed/>
    <w:qFormat/>
    <w:rsid w:val="00AE4B32"/>
    <w:pPr>
      <w:spacing w:before="240" w:after="240"/>
      <w:jc w:val="center"/>
    </w:pPr>
    <w:rPr>
      <w:rFonts w:ascii="Arial" w:hAnsi="Arial" w:cs="Times New Roman"/>
      <w:b/>
      <w:bCs/>
      <w:color w:val="D2232A"/>
      <w:sz w:val="20"/>
      <w:szCs w:val="20"/>
      <w:lang w:val="en-GB" w:eastAsia="en-US"/>
    </w:rPr>
  </w:style>
  <w:style w:type="paragraph" w:customStyle="1" w:styleId="EQ">
    <w:name w:val="EQ"/>
    <w:basedOn w:val="Normal"/>
    <w:next w:val="Normal"/>
    <w:rsid w:val="00AE4B32"/>
    <w:pPr>
      <w:keepLines/>
      <w:widowControl w:val="0"/>
      <w:tabs>
        <w:tab w:val="right" w:pos="9356"/>
      </w:tabs>
      <w:spacing w:after="240"/>
    </w:pPr>
    <w:rPr>
      <w:rFonts w:ascii="Arial" w:hAnsi="Arial" w:cs="Times New Roman"/>
      <w:noProof/>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widowControl w:val="0"/>
    </w:pPr>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spacing w:after="180"/>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eastAsiaTheme="minorEastAsia" w:hAnsi="Times New Roman" w:cs="Times New Roman"/>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overflowPunct w:val="0"/>
      <w:autoSpaceDE w:val="0"/>
      <w:autoSpaceDN w:val="0"/>
      <w:adjustRightInd w:val="0"/>
      <w:spacing w:before="480"/>
      <w:jc w:val="center"/>
      <w:textAlignment w:val="baseline"/>
    </w:pPr>
    <w:rPr>
      <w:rFonts w:ascii="Times New Roman" w:eastAsiaTheme="minorEastAsia" w:hAnsi="Times New Roman" w:cs="Times New Roman"/>
      <w:sz w:val="28"/>
      <w:szCs w:val="20"/>
      <w:lang w:val="fr-FR" w:eastAsia="en-US"/>
    </w:rPr>
  </w:style>
  <w:style w:type="paragraph" w:customStyle="1" w:styleId="EW">
    <w:name w:val="EW"/>
    <w:basedOn w:val="Normal"/>
    <w:rsid w:val="009D553B"/>
    <w:pPr>
      <w:keepLines/>
      <w:ind w:left="1702" w:hanging="1418"/>
    </w:pPr>
    <w:rPr>
      <w:rFonts w:ascii="Times New Roman" w:eastAsiaTheme="minorEastAsia" w:hAnsi="Times New Roman" w:cs="Times New Roman"/>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spacing w:after="180"/>
    </w:pPr>
    <w:rPr>
      <w:rFonts w:ascii="Times New Roman" w:eastAsia="MS Mincho" w:hAnsi="Times New Roman" w:cs="Times New Roman"/>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pPr>
      <w:widowControl w:val="0"/>
      <w:jc w:val="both"/>
    </w:pPr>
    <w:rPr>
      <w:rFonts w:asciiTheme="minorHAnsi" w:eastAsiaTheme="minorEastAsia" w:hAnsiTheme="minorHAnsi" w:cstheme="minorBidi"/>
      <w:kern w:val="2"/>
      <w:sz w:val="21"/>
      <w:szCs w:val="22"/>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harChar3">
    <w:name w:val="Char Char3"/>
    <w:basedOn w:val="DefaultParagraphFont"/>
    <w:rsid w:val="000F6C2D"/>
    <w:rPr>
      <w:rFonts w:ascii="Arial" w:eastAsia="MS Mincho" w:hAnsi="Arial" w:cs="Arial"/>
      <w:bCs/>
      <w:sz w:val="26"/>
      <w:szCs w:val="26"/>
      <w:lang w:val="en-GB" w:eastAsia="en-GB" w:bidi="ar-SA"/>
    </w:rPr>
  </w:style>
  <w:style w:type="paragraph" w:customStyle="1" w:styleId="TAL">
    <w:name w:val="TAL"/>
    <w:basedOn w:val="Normal"/>
    <w:link w:val="TALCar"/>
    <w:qFormat/>
    <w:rsid w:val="006760C1"/>
    <w:pPr>
      <w:keepNext/>
      <w:keepLines/>
    </w:pPr>
    <w:rPr>
      <w:rFonts w:ascii="Arial" w:eastAsiaTheme="minorEastAsia" w:hAnsi="Arial" w:cs="Times New Roman"/>
      <w:sz w:val="18"/>
      <w:szCs w:val="20"/>
      <w:lang w:val="en-GB" w:eastAsia="en-US"/>
    </w:rPr>
  </w:style>
  <w:style w:type="character" w:customStyle="1" w:styleId="TALCar">
    <w:name w:val="TAL Car"/>
    <w:link w:val="TAL"/>
    <w:rsid w:val="006760C1"/>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77316890">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4412676">
      <w:bodyDiv w:val="1"/>
      <w:marLeft w:val="0"/>
      <w:marRight w:val="0"/>
      <w:marTop w:val="0"/>
      <w:marBottom w:val="0"/>
      <w:divBdr>
        <w:top w:val="none" w:sz="0" w:space="0" w:color="auto"/>
        <w:left w:val="none" w:sz="0" w:space="0" w:color="auto"/>
        <w:bottom w:val="none" w:sz="0" w:space="0" w:color="auto"/>
        <w:right w:val="none" w:sz="0" w:space="0" w:color="auto"/>
      </w:divBdr>
      <w:divsChild>
        <w:div w:id="669407028">
          <w:marLeft w:val="1267"/>
          <w:marRight w:val="0"/>
          <w:marTop w:val="60"/>
          <w:marBottom w:val="0"/>
          <w:divBdr>
            <w:top w:val="none" w:sz="0" w:space="0" w:color="auto"/>
            <w:left w:val="none" w:sz="0" w:space="0" w:color="auto"/>
            <w:bottom w:val="none" w:sz="0" w:space="0" w:color="auto"/>
            <w:right w:val="none" w:sz="0" w:space="0" w:color="auto"/>
          </w:divBdr>
        </w:div>
        <w:div w:id="746390308">
          <w:marLeft w:val="547"/>
          <w:marRight w:val="0"/>
          <w:marTop w:val="60"/>
          <w:marBottom w:val="60"/>
          <w:divBdr>
            <w:top w:val="none" w:sz="0" w:space="0" w:color="auto"/>
            <w:left w:val="none" w:sz="0" w:space="0" w:color="auto"/>
            <w:bottom w:val="none" w:sz="0" w:space="0" w:color="auto"/>
            <w:right w:val="none" w:sz="0" w:space="0" w:color="auto"/>
          </w:divBdr>
        </w:div>
        <w:div w:id="907955668">
          <w:marLeft w:val="547"/>
          <w:marRight w:val="0"/>
          <w:marTop w:val="60"/>
          <w:marBottom w:val="60"/>
          <w:divBdr>
            <w:top w:val="none" w:sz="0" w:space="0" w:color="auto"/>
            <w:left w:val="none" w:sz="0" w:space="0" w:color="auto"/>
            <w:bottom w:val="none" w:sz="0" w:space="0" w:color="auto"/>
            <w:right w:val="none" w:sz="0" w:space="0" w:color="auto"/>
          </w:divBdr>
        </w:div>
        <w:div w:id="927737562">
          <w:marLeft w:val="1267"/>
          <w:marRight w:val="0"/>
          <w:marTop w:val="60"/>
          <w:marBottom w:val="0"/>
          <w:divBdr>
            <w:top w:val="none" w:sz="0" w:space="0" w:color="auto"/>
            <w:left w:val="none" w:sz="0" w:space="0" w:color="auto"/>
            <w:bottom w:val="none" w:sz="0" w:space="0" w:color="auto"/>
            <w:right w:val="none" w:sz="0" w:space="0" w:color="auto"/>
          </w:divBdr>
        </w:div>
        <w:div w:id="1102603145">
          <w:marLeft w:val="1267"/>
          <w:marRight w:val="0"/>
          <w:marTop w:val="60"/>
          <w:marBottom w:val="0"/>
          <w:divBdr>
            <w:top w:val="none" w:sz="0" w:space="0" w:color="auto"/>
            <w:left w:val="none" w:sz="0" w:space="0" w:color="auto"/>
            <w:bottom w:val="none" w:sz="0" w:space="0" w:color="auto"/>
            <w:right w:val="none" w:sz="0" w:space="0" w:color="auto"/>
          </w:divBdr>
        </w:div>
        <w:div w:id="1269384667">
          <w:marLeft w:val="1267"/>
          <w:marRight w:val="0"/>
          <w:marTop w:val="6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13404760">
      <w:bodyDiv w:val="1"/>
      <w:marLeft w:val="0"/>
      <w:marRight w:val="0"/>
      <w:marTop w:val="0"/>
      <w:marBottom w:val="0"/>
      <w:divBdr>
        <w:top w:val="none" w:sz="0" w:space="0" w:color="auto"/>
        <w:left w:val="none" w:sz="0" w:space="0" w:color="auto"/>
        <w:bottom w:val="none" w:sz="0" w:space="0" w:color="auto"/>
        <w:right w:val="none" w:sz="0" w:space="0" w:color="auto"/>
      </w:divBdr>
    </w:div>
    <w:div w:id="1842504322">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055194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E411D-426A-4BAA-9DAC-C30F0093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201910814</cp:lastModifiedBy>
  <cp:revision>9</cp:revision>
  <cp:lastPrinted>2019-03-25T03:05:00Z</cp:lastPrinted>
  <dcterms:created xsi:type="dcterms:W3CDTF">2019-08-16T03:40:00Z</dcterms:created>
  <dcterms:modified xsi:type="dcterms:W3CDTF">2019-08-16T09:59:00Z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